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rPr>
          <w:rFonts w:ascii="黑体" w:hAnsi="黑体" w:eastAsia="黑体" w:cs="宋体"/>
          <w:kern w:val="0"/>
          <w:sz w:val="32"/>
          <w:szCs w:val="32"/>
        </w:rPr>
      </w:pPr>
    </w:p>
    <w:p>
      <w:pPr>
        <w:widowControl/>
        <w:spacing w:line="560" w:lineRule="exact"/>
        <w:jc w:val="center"/>
        <w:rPr>
          <w:rFonts w:ascii="方正小标宋简体" w:hAnsi="黑体" w:eastAsia="方正小标宋简体" w:cs="宋体"/>
          <w:kern w:val="0"/>
          <w:sz w:val="44"/>
          <w:szCs w:val="44"/>
        </w:rPr>
      </w:pPr>
    </w:p>
    <w:p>
      <w:pPr>
        <w:widowControl/>
        <w:spacing w:line="560" w:lineRule="exact"/>
        <w:jc w:val="center"/>
        <w:rPr>
          <w:rFonts w:ascii="方正小标宋简体" w:hAnsi="黑体" w:eastAsia="方正小标宋简体" w:cs="宋体"/>
          <w:kern w:val="0"/>
          <w:sz w:val="44"/>
          <w:szCs w:val="44"/>
        </w:rPr>
      </w:pPr>
    </w:p>
    <w:p>
      <w:pPr>
        <w:widowControl/>
        <w:spacing w:line="1600" w:lineRule="exact"/>
        <w:jc w:val="center"/>
        <w:rPr>
          <w:rFonts w:ascii="方正大标宋_GBK" w:hAnsi="方正大标宋_GBK" w:eastAsia="方正大标宋_GBK" w:cs="方正大标宋_GBK"/>
          <w:color w:val="FF0000"/>
          <w:spacing w:val="28"/>
          <w:w w:val="40"/>
          <w:kern w:val="0"/>
          <w:sz w:val="144"/>
          <w:szCs w:val="48"/>
        </w:rPr>
      </w:pPr>
      <w:r>
        <w:rPr>
          <w:rFonts w:hint="eastAsia" w:ascii="方正大标宋_GBK" w:hAnsi="方正大标宋_GBK" w:eastAsia="方正大标宋_GBK" w:cs="方正大标宋_GBK"/>
          <w:color w:val="FF0000"/>
          <w:spacing w:val="28"/>
          <w:w w:val="40"/>
          <w:kern w:val="0"/>
          <w:sz w:val="144"/>
          <w:szCs w:val="48"/>
        </w:rPr>
        <w:t>中共汶川县纪律检查委员会文件</w:t>
      </w:r>
    </w:p>
    <w:p>
      <w:pPr>
        <w:widowControl/>
        <w:spacing w:line="560" w:lineRule="exact"/>
        <w:jc w:val="center"/>
        <w:rPr>
          <w:rFonts w:ascii="仿宋_GB2312" w:hAnsi="黑体" w:eastAsia="仿宋_GB2312" w:cs="宋体"/>
          <w:kern w:val="0"/>
          <w:sz w:val="32"/>
          <w:szCs w:val="44"/>
        </w:rPr>
      </w:pPr>
    </w:p>
    <w:p>
      <w:pPr>
        <w:widowControl/>
        <w:spacing w:line="560" w:lineRule="exact"/>
        <w:jc w:val="center"/>
        <w:rPr>
          <w:rFonts w:ascii="仿宋_GB2312" w:hAnsi="黑体" w:eastAsia="仿宋_GB2312" w:cs="宋体"/>
          <w:kern w:val="0"/>
          <w:sz w:val="32"/>
          <w:szCs w:val="44"/>
        </w:rPr>
      </w:pPr>
      <w:r>
        <w:rPr>
          <w:rFonts w:hint="eastAsia" w:ascii="仿宋_GB2312" w:hAnsi="黑体" w:eastAsia="仿宋_GB2312" w:cs="宋体"/>
          <w:kern w:val="0"/>
          <w:sz w:val="32"/>
          <w:szCs w:val="44"/>
        </w:rPr>
        <w:t>汶纪办发〔2019〕</w:t>
      </w:r>
      <w:r>
        <w:rPr>
          <w:rFonts w:hint="eastAsia" w:ascii="仿宋_GB2312" w:hAnsi="黑体" w:eastAsia="仿宋_GB2312" w:cs="宋体"/>
          <w:kern w:val="0"/>
          <w:sz w:val="32"/>
          <w:szCs w:val="44"/>
          <w:lang w:val="en-US" w:eastAsia="zh-CN"/>
        </w:rPr>
        <w:t>19</w:t>
      </w:r>
      <w:r>
        <w:rPr>
          <w:rFonts w:hint="eastAsia" w:ascii="仿宋_GB2312" w:hAnsi="黑体" w:eastAsia="仿宋_GB2312" w:cs="宋体"/>
          <w:kern w:val="0"/>
          <w:sz w:val="32"/>
          <w:szCs w:val="44"/>
        </w:rPr>
        <w:t>号</w:t>
      </w:r>
    </w:p>
    <w:p>
      <w:pPr>
        <w:widowControl/>
        <w:spacing w:line="880" w:lineRule="exact"/>
        <w:rPr>
          <w:rFonts w:ascii="方正小标宋简体" w:hAnsi="黑体" w:eastAsia="方正小标宋简体" w:cs="宋体"/>
          <w:kern w:val="0"/>
          <w:sz w:val="44"/>
          <w:szCs w:val="44"/>
        </w:rPr>
      </w:pPr>
      <w: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65405</wp:posOffset>
                </wp:positionV>
                <wp:extent cx="267335" cy="267335"/>
                <wp:effectExtent l="0" t="0" r="18415" b="18415"/>
                <wp:wrapSquare wrapText="bothSides"/>
                <wp:docPr id="1" name="自选图形 2"/>
                <wp:cNvGraphicFramePr/>
                <a:graphic xmlns:a="http://schemas.openxmlformats.org/drawingml/2006/main">
                  <a:graphicData uri="http://schemas.microsoft.com/office/word/2010/wordprocessingShape">
                    <wps:wsp>
                      <wps:cNvSpPr/>
                      <wps:spPr>
                        <a:xfrm>
                          <a:off x="0" y="0"/>
                          <a:ext cx="267335" cy="267335"/>
                        </a:xfrm>
                        <a:prstGeom prst="star5">
                          <a:avLst/>
                        </a:prstGeom>
                        <a:solidFill>
                          <a:srgbClr val="FF0000"/>
                        </a:solidFill>
                        <a:ln w="9525">
                          <a:noFill/>
                        </a:ln>
                      </wps:spPr>
                      <wps:bodyPr upright="1"/>
                    </wps:wsp>
                  </a:graphicData>
                </a:graphic>
              </wp:anchor>
            </w:drawing>
          </mc:Choice>
          <mc:Fallback>
            <w:pict>
              <v:shape id="自选图形 2" o:spid="_x0000_s1026" style="position:absolute;left:0pt;margin-top:5.15pt;height:21.05pt;width:21.05pt;mso-position-horizontal:center;mso-wrap-distance-bottom:0pt;mso-wrap-distance-left:9pt;mso-wrap-distance-right:9pt;mso-wrap-distance-top:0pt;z-index:251657216;mso-width-relative:page;mso-height-relative:page;" fillcolor="#FF0000" filled="t" stroked="f" coordsize="267335,267335" o:gfxdata="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x37vc9UAAAAFAQAADwAA&#10;AAAAAAABACAAAAAiAAAAZHJzL2Rvd25yZXYueG1sUEsBAhQAFAAAAAgAh07iQMyaC8inAQAAIAMA&#10;AA4AAAAAAAAAAQAgAAAAJAEAAGRycy9lMm9Eb2MueG1sUEsFBgAAAAAGAAYAWQEAAD0FAAAAAA==&#10;" path="m0,102112l102113,102113,133667,0,165221,102113,267334,102112,184723,165221,216278,267334,133667,204224,51056,267334,82611,165221xe">
                <v:path o:connectlocs="133667,0;0,102112;51056,267334;216278,267334;267334,102112" o:connectangles="247,164,82,82,0"/>
                <v:fill on="t" focussize="0,0"/>
                <v:stroke on="f"/>
                <v:imagedata o:title=""/>
                <o:lock v:ext="edit" aspectratio="f"/>
                <w10:wrap type="square"/>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3177540</wp:posOffset>
                </wp:positionH>
                <wp:positionV relativeFrom="paragraph">
                  <wp:posOffset>214630</wp:posOffset>
                </wp:positionV>
                <wp:extent cx="2524125" cy="635"/>
                <wp:effectExtent l="0" t="0" r="0" b="0"/>
                <wp:wrapNone/>
                <wp:docPr id="2" name="直线 3"/>
                <wp:cNvGraphicFramePr/>
                <a:graphic xmlns:a="http://schemas.openxmlformats.org/drawingml/2006/main">
                  <a:graphicData uri="http://schemas.microsoft.com/office/word/2010/wordprocessingShape">
                    <wps:wsp>
                      <wps:cNvCnPr/>
                      <wps:spPr>
                        <a:xfrm>
                          <a:off x="0" y="0"/>
                          <a:ext cx="2524125" cy="635"/>
                        </a:xfrm>
                        <a:prstGeom prst="line">
                          <a:avLst/>
                        </a:prstGeom>
                        <a:ln w="412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50.2pt;margin-top:16.9pt;height:0.05pt;width:198.75pt;z-index:251658240;mso-width-relative:page;mso-height-relative:page;" filled="f" stroked="t" coordsize="21600,21600" o:gfxdata="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YJQonZAAAACQEAAA8AAAAAAAAAAQAgAAAA&#10;IgAAAGRycy9kb3ducmV2LnhtbFBLAQIUABQAAAAIAIdO4kCi6Za40QEAAJADAAAOAAAAAAAAAAEA&#10;IAAAACgBAABkcnMvZTJvRG9jLnhtbFBLBQYAAAAABgAGAFkBAABrBQAAAAA=&#10;">
                <v:fill on="f" focussize="0,0"/>
                <v:stroke weight="3.25pt" color="#FF0000" joinstyle="round"/>
                <v:imagedata o:title=""/>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205105</wp:posOffset>
                </wp:positionV>
                <wp:extent cx="2524125" cy="635"/>
                <wp:effectExtent l="0" t="0" r="0" b="0"/>
                <wp:wrapNone/>
                <wp:docPr id="3" name="直线 4"/>
                <wp:cNvGraphicFramePr/>
                <a:graphic xmlns:a="http://schemas.openxmlformats.org/drawingml/2006/main">
                  <a:graphicData uri="http://schemas.microsoft.com/office/word/2010/wordprocessingShape">
                    <wps:wsp>
                      <wps:cNvCnPr/>
                      <wps:spPr>
                        <a:xfrm>
                          <a:off x="0" y="0"/>
                          <a:ext cx="2524125" cy="635"/>
                        </a:xfrm>
                        <a:prstGeom prst="line">
                          <a:avLst/>
                        </a:prstGeom>
                        <a:ln w="41275" cap="flat" cmpd="sng">
                          <a:solidFill>
                            <a:srgbClr val="FF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45pt;margin-top:16.15pt;height:0.05pt;width:198.75pt;z-index:251658240;mso-width-relative:page;mso-height-relative:page;" filled="f" stroked="t" coordsize="21600,21600" o:gfxdata="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8W12bWAAAABgEAAA8AAAAAAAAAAQAgAAAAIgAA&#10;AGRycy9kb3ducmV2LnhtbFBLAQIUABQAAAAIAIdO4kDs2HtD0QEAAJADAAAOAAAAAAAAAAEAIAAA&#10;ACUBAABkcnMvZTJvRG9jLnhtbFBLBQYAAAAABgAGAFkBAABoBQAAAAA=&#10;">
                <v:fill on="f" focussize="0,0"/>
                <v:stroke weight="3.25pt" color="#FF0000" joinstyle="round"/>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ascii="黑体" w:hAnsi="黑体" w:eastAsia="黑体"/>
          <w:sz w:val="32"/>
          <w:szCs w:val="32"/>
        </w:rPr>
      </w:pPr>
      <w:r>
        <w:rPr>
          <w:rFonts w:hint="eastAsia" w:ascii="方正小标宋简体" w:eastAsia="方正小标宋简体"/>
          <w:sz w:val="44"/>
          <w:szCs w:val="44"/>
        </w:rPr>
        <w:t>中共汶川县纪委办公室</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关于印发《中共汶川县纪委 汶川县监察委问题线索集中管理和集体排查办法》等制度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的通知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委机关各室：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《中共汶川县纪委 汶川县监察委问题线索集中管理和集体排查办法》《中共汶川县纪委  汶川县监察委问题线索处置方式的分类标准》《中共汶川县纪委 汶川县监察委谈话函询工作办法》《中共汶川县纪委 汶川县监察委对反映县管干部问题线索直接了结工作办法》《中共汶川县纪委 汶川县监察委问题线索了结反馈实施办法》《中共汶川县纪委  汶川县监察委谈话室使用管理办法》等制度已经县纪委常委会研究同意，现印发你们，请遵照执行。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附件1.问题线索集中管理和集体排查办法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2.谈话室使用管理办法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 xml:space="preserve">                           中共汶川县纪委办公室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rPr>
      </w:pPr>
      <w:r>
        <w:rPr>
          <w:rFonts w:hint="eastAsia" w:ascii="仿宋_GB2312" w:eastAsia="仿宋_GB2312"/>
          <w:sz w:val="32"/>
          <w:szCs w:val="32"/>
        </w:rPr>
        <w:t xml:space="preserve">                             2019年10月</w:t>
      </w:r>
      <w:r>
        <w:rPr>
          <w:rFonts w:hint="eastAsia" w:ascii="仿宋_GB2312" w:eastAsia="仿宋_GB2312"/>
          <w:sz w:val="32"/>
          <w:szCs w:val="32"/>
          <w:lang w:val="en-US" w:eastAsia="zh-CN"/>
        </w:rPr>
        <w:t>16</w:t>
      </w:r>
      <w:r>
        <w:rPr>
          <w:rFonts w:hint="eastAsia" w:ascii="仿宋_GB2312" w:eastAsia="仿宋_GB2312"/>
          <w:sz w:val="32"/>
          <w:szCs w:val="32"/>
        </w:rPr>
        <w:t>日</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spacing w:line="576" w:lineRule="exact"/>
        <w:jc w:val="both"/>
        <w:rPr>
          <w:rFonts w:hint="eastAsia" w:ascii="黑体" w:hAnsi="黑体" w:eastAsia="黑体" w:cs="黑体"/>
          <w:sz w:val="32"/>
          <w:szCs w:val="32"/>
          <w:lang w:eastAsia="zh-CN"/>
        </w:rPr>
      </w:pPr>
    </w:p>
    <w:p>
      <w:pPr>
        <w:keepNext w:val="0"/>
        <w:keepLines w:val="0"/>
        <w:pageBreakBefore w:val="0"/>
        <w:kinsoku/>
        <w:wordWrap/>
        <w:overflowPunct/>
        <w:topLinePunct w:val="0"/>
        <w:autoSpaceDE/>
        <w:autoSpaceDN/>
        <w:bidi w:val="0"/>
        <w:adjustRightInd/>
        <w:spacing w:line="56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问题线索集中管理和集体排查办法</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为进一步加强和规范县纪委监委反映领导干部问题线索的管理工作，提升案件线索管理的规范化、科学化水平，确保违纪违法案件得到及时、有效查处，根据《中国共产党纪律检查机关监督执纪工作规则》、中央纪委《关于进一步加强和规范办案工作的意见》和《关于切实加强和规范反映领导干部问题线索管理工作的通知》等有关规定，结合工作实际，制定本办法。</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本办法所称问题线索（以下简称“线索”）是指交由县纪委监委纪检监察室办理的，反映县委管理干部违纪问题的信件、来访或电话记录、网络举报及其它文字、数据、影像等资料。线索集体排查是指针对上述案件线索（除上级机关及领导有明确处置意见的以外）进行分析评估、集体研究确定处置意见的工作。</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第三条</w:t>
      </w:r>
      <w:r>
        <w:rPr>
          <w:rFonts w:hint="eastAsia" w:ascii="仿宋_GB2312" w:eastAsia="仿宋_GB2312"/>
          <w:sz w:val="32"/>
          <w:szCs w:val="32"/>
        </w:rPr>
        <w:t xml:space="preserve">  线索管理应当坚持归口受理、合理处置、集体排查、动态管理、规范高效、严格保密的原则。线索排查应当坚持实事求是、客观公正、会议研究、集体决策的原则。</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案件监督管理室归口受理以下来源的反映县管干部的线索：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（一）州纪委监委转办的；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（二）县委、县政府、县纪委主要领导批转的；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（三）县纪委监委信访室移交的；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（四）党风政风监督部门、执纪监督部门、审查调查部门、案件审理部门、干部监督部门发现的以及各项专项治理等工作中发现的相关问题线索；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（五）各乡镇纪检监察机关、派出纪检监察机构按照规定报送的；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（六）巡察部门、司法机关、行政执法机关按照规定移送的；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（七）其他来源获取的。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第五条</w:t>
      </w:r>
      <w:r>
        <w:rPr>
          <w:rFonts w:hint="eastAsia" w:ascii="仿宋_GB2312" w:eastAsia="仿宋_GB2312"/>
          <w:sz w:val="32"/>
          <w:szCs w:val="32"/>
        </w:rPr>
        <w:t xml:space="preserve">  案件监督管理室应当明确专人，按照保密原则，对受理的线索逐件登记，建立台账，并经相关领导审批后及时按程序依分工移送相应纪检监察室。</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委机关各室及个人收到信访举报，均送交信访室统一登记，经分管信访工作的领导阅批后，转案件监督管理室统一登记并移送相关室办理。党风政风监督部门、执纪监督部门、审查调查部门、案件审理部门、干部监督部门发现的及各项专项治理等工作中发现的相关问题线索，均送交案件监督管理室统一登记，并经相关领导审批后及时按程序依分工移送相应纪检监察室。</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由上级或同级党委、政府及其负责人批办、转办，要求报送结果的线索，执纪执法部门移送的线索，直接由案件监督管理室负责签收。</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县纪委监委实行案件线索集体排查制度。</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线索集体排查会议由县纪委书记（监委主任）或由县纪委书记委托分管案件检查工作的副书记主持，线索集体排查小组由县纪委书记（监委主任），分管案件检查工作的副书记、常委（委员），分管信访工作常委（委员），分管案件监督管理工作常委（委员），纪检监察室、案件监督管理室负责人组成。</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线索集体排查会议根据工作需要适时召开，重点分析研究问题具体、可查性强的线索。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第九条</w:t>
      </w:r>
      <w:r>
        <w:rPr>
          <w:rFonts w:hint="eastAsia" w:ascii="仿宋_GB2312" w:eastAsia="仿宋_GB2312"/>
          <w:sz w:val="32"/>
          <w:szCs w:val="32"/>
        </w:rPr>
        <w:t xml:space="preserve">  纪检监察室应当及时对分工范围内的线索提出分类处置意见、处置方案及具体办理建议，按程序提交委线索集体排查会议，集体研究确定线索处置及办理方式。</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州纪委交办的，县委、县政府领导交办的，人民群众反映强烈的，反映县委管理干部和拟提拔干部问题的，署实名信访举报问题的线索必须尽快处置。</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问题线索由案件监督管理室统一登记后，由承办纪检室各自保管。</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需要立即办理的线索，纪检监察室应按程序报县纪委监委主要领导同意后先行办理，并及时向委线索排查会议报告相关情况。</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案件监督管理室应对线索处置及办理情况进行跟踪督办，定期汇总后报县纪委主要领导。</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第十四条</w:t>
      </w:r>
      <w:r>
        <w:rPr>
          <w:rFonts w:hint="eastAsia" w:ascii="仿宋_GB2312" w:eastAsia="仿宋_GB2312"/>
          <w:sz w:val="32"/>
          <w:szCs w:val="32"/>
        </w:rPr>
        <w:t xml:space="preserve">  各纪检监察室对线索办理进展情况有变化，需要变更线索处置方式的，及时进行分析评估，重新提出处置意见，按程序报委线索集体排查会议研究决定。</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第十五条</w:t>
      </w:r>
      <w:r>
        <w:rPr>
          <w:rFonts w:hint="eastAsia" w:ascii="仿宋_GB2312" w:eastAsia="仿宋_GB2312"/>
          <w:sz w:val="32"/>
          <w:szCs w:val="32"/>
        </w:rPr>
        <w:t xml:space="preserve">  对上级机关要求查报结果的线索，由承办室完成处置，写出相关报告，报经分管领导审核，委主要领导审定后按程序上报。</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第十六条</w:t>
      </w:r>
      <w:r>
        <w:rPr>
          <w:rFonts w:hint="eastAsia" w:ascii="仿宋_GB2312" w:eastAsia="仿宋_GB2312"/>
          <w:sz w:val="32"/>
          <w:szCs w:val="32"/>
        </w:rPr>
        <w:t xml:space="preserve">  线索的接收、移交、管理、办理，应本着及时、保密的原则，减少运转环节，严格登记、交接手续，严守纪律，不得扣压、拖延、丢失和失密、泄密。对违反规定的要追究相关责任人的责任。</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第十七条</w:t>
      </w:r>
      <w:r>
        <w:rPr>
          <w:rFonts w:hint="eastAsia" w:ascii="仿宋_GB2312" w:eastAsia="仿宋_GB2312"/>
          <w:sz w:val="32"/>
          <w:szCs w:val="32"/>
        </w:rPr>
        <w:t xml:space="preserve">  本办法由案件监督管理室负责解释。</w:t>
      </w:r>
    </w:p>
    <w:p>
      <w:pPr>
        <w:keepNext w:val="0"/>
        <w:keepLines w:val="0"/>
        <w:pageBreakBefore w:val="0"/>
        <w:widowControl/>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ascii="仿宋_GB2312" w:eastAsia="仿宋_GB2312"/>
          <w:sz w:val="32"/>
          <w:szCs w:val="32"/>
        </w:rPr>
        <w:br w:type="page"/>
      </w:r>
    </w:p>
    <w:p>
      <w:pPr>
        <w:keepNext w:val="0"/>
        <w:keepLines w:val="0"/>
        <w:pageBreakBefore w:val="0"/>
        <w:kinsoku/>
        <w:wordWrap/>
        <w:overflowPunct/>
        <w:topLinePunct w:val="0"/>
        <w:autoSpaceDE/>
        <w:autoSpaceDN/>
        <w:bidi w:val="0"/>
        <w:adjustRightInd/>
        <w:spacing w:line="560" w:lineRule="exact"/>
        <w:ind w:firstLine="880" w:firstLineChars="200"/>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中共汶川县纪委  汶川县监察委</w:t>
      </w:r>
    </w:p>
    <w:p>
      <w:pPr>
        <w:keepNext w:val="0"/>
        <w:keepLines w:val="0"/>
        <w:pageBreakBefore w:val="0"/>
        <w:kinsoku/>
        <w:wordWrap/>
        <w:overflowPunct/>
        <w:topLinePunct w:val="0"/>
        <w:autoSpaceDE/>
        <w:autoSpaceDN/>
        <w:bidi w:val="0"/>
        <w:adjustRightInd/>
        <w:spacing w:line="560" w:lineRule="exact"/>
        <w:ind w:firstLine="880" w:firstLineChars="200"/>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问题线索处置方式的分类标准</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一、谈话函询类：</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（一）问题线索反映的违纪行为比较轻微，查清后不需要追究纪律责任，或者根据有关规定可以免于纪律处分，或者只能给予轻处分的；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（二）问题线索反映比较笼统或者时间比较久远，难以直接查证，需要向被反映的党员干部或者被反映单位、部门党委（党组）的主要负责人谈话了解或者书面说明相关情况才能作进一步判断的；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问题线索未能反映具体违纪事实，但涉及履行党风廉政建设主任责任和监督责任，贯彻执行中央八项规定精神等方面的苗头性、倾向性问题，有必要提醒被反映的党员干部或者被反映单位、部门党委（党组）主要负责人注意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（四）其他经集体研究，决定对问题线索采用谈话函询方式处置的情形。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二、初步核实类：</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反映的问题具有存在的可能性和可查性，对照相关规定，判断其可能构成违纪违法的，应当进行初步核实。</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hAnsi="黑体" w:eastAsia="仿宋_GB2312"/>
          <w:sz w:val="32"/>
          <w:szCs w:val="32"/>
        </w:rPr>
      </w:pPr>
      <w:r>
        <w:rPr>
          <w:rFonts w:hint="eastAsia" w:ascii="黑体" w:hAnsi="黑体" w:eastAsia="黑体"/>
          <w:sz w:val="32"/>
          <w:szCs w:val="32"/>
        </w:rPr>
        <w:t xml:space="preserve">三、暂存待查类： </w:t>
      </w:r>
      <w:r>
        <w:rPr>
          <w:rFonts w:hint="eastAsia" w:ascii="仿宋_GB2312" w:hAnsi="黑体" w:eastAsia="仿宋_GB2312"/>
          <w:sz w:val="32"/>
          <w:szCs w:val="32"/>
        </w:rPr>
        <w:t>对于暂存待查的问题线索，应当每6个月重新研究确定处置方式。</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（一）线索具体、有可查性，但因其本人、所在部门、时机等因素，不便马上开展核查的；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（二）相关重要涉案人一时难以找到的；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（三）曾做过初步核实，尚不能完全排除问题存在的可能性，在现有条件下难以进一步核查的；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（四）反映的问题有一定的可信度，但情节简单，缺乏工作切入点，一时难以开展核查工作的；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（五）被反映人退休5年以上的或被反映人年龄超过70岁的；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（六）反映的问题发生在10年以前，之后没有新问题举报的；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（七）其他需要暂存待查的情形。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四、予以了结类：</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（一）被反映人已被开除公职的；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（二）被反映人已死亡，且不属于《中国共产党纪律处分条例》第36条规定情形的；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（三）与已了结的问题线索被反映人、反映问题内容完全一致的；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（四）转有关单位（部门）处理，不需要回复处理结果的；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（五）与已了结的问题线索被反映人、反映问题实质性内容一致的；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（六）道听途说或主观臆测，明显不合常理，无必要开展谈话函询或者初步核实的；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（七）反映笼统，不涉及具体问题，或者被反映人不明确，无可能开展谈话函询或者初步核实的；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（八）被反映人年龄超过70岁，或者反映的问题发生在10年前，且所反映问题具有一般性，查清了只能给予轻处分或者批评教育，归入暂存待查类线索一年内没有新反映的；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（九）被反映人被判处刑罚且已生效后，又收到涉及其在职时涉嫌新的职务犯罪问题线索，查清了不影响定罪量刑的；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（十）其他符合直接了结条件的情形。</w:t>
      </w:r>
    </w:p>
    <w:p>
      <w:pPr>
        <w:keepNext w:val="0"/>
        <w:keepLines w:val="0"/>
        <w:pageBreakBefore w:val="0"/>
        <w:widowControl/>
        <w:kinsoku/>
        <w:wordWrap/>
        <w:overflowPunct/>
        <w:topLinePunct w:val="0"/>
        <w:autoSpaceDE/>
        <w:autoSpaceDN/>
        <w:bidi w:val="0"/>
        <w:adjustRightInd/>
        <w:spacing w:line="560" w:lineRule="exact"/>
        <w:jc w:val="center"/>
        <w:textAlignment w:val="auto"/>
        <w:outlineLvl w:val="9"/>
        <w:rPr>
          <w:rFonts w:ascii="仿宋_GB2312" w:eastAsia="仿宋_GB2312"/>
          <w:sz w:val="32"/>
          <w:szCs w:val="32"/>
        </w:rPr>
      </w:pPr>
      <w:r>
        <w:rPr>
          <w:rFonts w:ascii="仿宋_GB2312" w:eastAsia="仿宋_GB2312"/>
          <w:sz w:val="32"/>
          <w:szCs w:val="32"/>
        </w:rPr>
        <w:br w:type="page"/>
      </w:r>
      <w:r>
        <w:rPr>
          <w:rFonts w:hint="eastAsia" w:ascii="方正小标宋简体" w:eastAsia="方正小标宋简体"/>
          <w:sz w:val="44"/>
          <w:szCs w:val="44"/>
        </w:rPr>
        <w:t>中共汶川县纪委 汶川县监察委</w:t>
      </w:r>
    </w:p>
    <w:p>
      <w:pPr>
        <w:keepNext w:val="0"/>
        <w:keepLines w:val="0"/>
        <w:pageBreakBefore w:val="0"/>
        <w:widowControl/>
        <w:kinsoku/>
        <w:wordWrap/>
        <w:overflowPunct/>
        <w:topLinePunct w:val="0"/>
        <w:autoSpaceDE/>
        <w:autoSpaceDN/>
        <w:bidi w:val="0"/>
        <w:adjustRightInd/>
        <w:spacing w:line="560" w:lineRule="exact"/>
        <w:jc w:val="center"/>
        <w:textAlignment w:val="auto"/>
        <w:outlineLvl w:val="9"/>
        <w:rPr>
          <w:rFonts w:ascii="仿宋_GB2312" w:eastAsia="仿宋_GB2312"/>
          <w:sz w:val="32"/>
          <w:szCs w:val="32"/>
        </w:rPr>
      </w:pPr>
      <w:r>
        <w:rPr>
          <w:rFonts w:hint="eastAsia" w:ascii="方正小标宋简体" w:eastAsia="方正小标宋简体"/>
          <w:sz w:val="44"/>
          <w:szCs w:val="44"/>
        </w:rPr>
        <w:t>谈话函询工作办法</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为规范县纪委监委谈话函询工作，根据《中国共产党纪律检查机关监督执纪工作规则》等规定，结合工作实际，制定本办法。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适用谈话函询方式处置的问题线索主要有：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（一）问题线索反映的违纪行为比较轻微，查清后不需要追究纪律责任，或者根据有关规定可以免于纪律处分，或者只能给予轻处分的；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（二）问题线索反映比较笼统或者时间比较久远，难以直接查证，需要向被反映的党员干部或者被反映单位、部门党委（党组）的主要负责人谈话了解或者书面说明相关情况才能作进一步判断的；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问题线索未能反映具体违纪事实，但涉及履行党风廉政建设主任责任和监督责任，贯彻执行中央八项规定精神等方面的苗头性、倾向性问题，有必要提醒被反映的党员干部或者被反映单位、部门党委（党组）主要负责人注意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（四）其他经集体研究，决定对问题线索采用谈话函询方式处置的情形。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 xml:space="preserve">第三条 </w:t>
      </w:r>
      <w:r>
        <w:rPr>
          <w:rFonts w:hint="eastAsia" w:ascii="仿宋_GB2312" w:eastAsia="仿宋_GB2312"/>
          <w:sz w:val="32"/>
          <w:szCs w:val="32"/>
        </w:rPr>
        <w:t xml:space="preserve"> 谈话应当由县纪委监委班子成员或承办部门主要负责人进行，可以由被谈话人所在单位党组织主要负责人陪同；经县纪委监委主要负责人批准，也可委托被谈话人所在单位党组织主要负责人进行。</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开展谈话应当按以下程序进行: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(一)承办部门起草谈话函询报批请示，拟定谈话方案和相关工作预案，按程序报批。被谈话人为县委委员、候补委员，县纪委委员及其他正科级干部的，要向县委主要负责人报告。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(二)通知被谈话对象，告知谈话时间、地点等具体事项，并向其所在单位党组织主要负责人通报相关情况。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 (三)谈话人不得少于2人，被谈话人为女性的，谈话人中必须有女性工作人员参与。</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第五条</w:t>
      </w:r>
      <w:r>
        <w:rPr>
          <w:rFonts w:hint="eastAsia" w:ascii="仿宋_GB2312" w:eastAsia="仿宋_GB2312"/>
          <w:sz w:val="32"/>
          <w:szCs w:val="32"/>
        </w:rPr>
        <w:t xml:space="preserve">  谈话应当在具备安全保障条件的场所进行。由纪检监察机关谈话的，应当制作谈话笔录，谈话后可以视情况由被谈话人写出书面说明。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委托所在单位党组织主要负责人谈话的，承办部门须制作《委托谈话通知书》，报县纪委监委主要负责人批准后，送达被谈话人所在单位党组织。受委托的党组织主要负责人应当在15个工作日内完成谈话，并将谈话记录、说明材料、处置意见等谈话情况材料报县纪委监委承办部门。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 xml:space="preserve">第七条 </w:t>
      </w:r>
      <w:r>
        <w:rPr>
          <w:rFonts w:hint="eastAsia" w:ascii="仿宋_GB2312" w:eastAsia="仿宋_GB2312"/>
          <w:sz w:val="32"/>
          <w:szCs w:val="32"/>
        </w:rPr>
        <w:t xml:space="preserve"> 函询应由承办部门以县纪委监委办公室名义向被函询人发《函询通知书》，并抄送被函询人所在单位党组织主要负责人和派驻纪检监察组主要负责人。被函询人应当在收到《函询通知书》后15个工作日内，写出对函询问题的详细说明、对函询的认识以及其他需要向组织说明的问题等内容，经本人逐页签名，由被函询人所在单位党组织主要负责人签名后发函回复县纪委监委，由承办部门负责接收。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被函询人为乡（镇）党委（政府）主要负责人的，或者被函询人所作说明涉及乡（镇）党委（政府）主要负责人的，应当直接发函回复县纪委监委，由承办部门负责接收。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谈话函询工作应当在谈话结束或者收到函询回复后30个工作日内办结，承办部门对被谈话函询人所作的说明认真审核，提出处置意见，写出情况报告。根据不同情形作出相应处理: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(一)反映不实，或者没有证据证明存在问题的，对谈话函询说明予以采信，问题线索了结;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(二)问题轻微，不需要追究党纪责任的，采取谈话提醒、批评教育、责令检查、（书面）诫勉等方式处理;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(三)反映问题比较具体，但被反映人予以否认，或者说明存在明显问题的，应当再次谈话函询或者进行初步核实。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 xml:space="preserve">谈话函询处置情况报告经分管领导审核后，报县纪委监委主要负责人审批，必要时提请县纪委专题会议、常委会、县监委委务会议研究。需要采取诫勉（书面）、谈话提醒等方式处理的，由承办部门按相关程序办理。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 xml:space="preserve">第九条 </w:t>
      </w:r>
      <w:r>
        <w:rPr>
          <w:rFonts w:hint="eastAsia" w:ascii="仿宋_GB2312" w:eastAsia="仿宋_GB2312"/>
          <w:sz w:val="32"/>
          <w:szCs w:val="32"/>
        </w:rPr>
        <w:t xml:space="preserve"> 问题线索经谈话函询处置完毕后，被谈话函询人应当在其所在党组织民主生活会或组织生活会上如实说明被谈话函询情况，存在问题的要作出检讨。由承办部门负责监督落实。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谈话函询予以了结的，承办部门应于了结后10日内向被反映人及其所在党组织主要负责人进行反馈，并向案件监督管理室备案。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 xml:space="preserve">第十一条 </w:t>
      </w:r>
      <w:r>
        <w:rPr>
          <w:rFonts w:hint="eastAsia" w:ascii="仿宋_GB2312" w:eastAsia="仿宋_GB2312"/>
          <w:sz w:val="32"/>
          <w:szCs w:val="32"/>
        </w:rPr>
        <w:t xml:space="preserve"> 谈话函询材料应由承办部门存个人廉政档案。</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注重对谈话函询人说明情况的抽查核实。如谈话函询对象有新的问题线索需初核或已经立案的，应将已经谈话函询过的问题线索一并初核或审查调查。发现虚假说明的，应追究其纪律责任。</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谈话函询工作中产生的所有材料应当由承办部门整理成卷。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黑体" w:hAnsi="黑体" w:eastAsia="黑体"/>
          <w:sz w:val="32"/>
          <w:szCs w:val="32"/>
        </w:rPr>
        <w:t>第十四条</w:t>
      </w:r>
      <w:r>
        <w:rPr>
          <w:rFonts w:hint="eastAsia" w:ascii="仿宋_GB2312" w:eastAsia="仿宋_GB2312"/>
          <w:sz w:val="32"/>
          <w:szCs w:val="32"/>
        </w:rPr>
        <w:t xml:space="preserve">  各乡（镇）纪委、派出纪检组，结合实际执行本办法。 </w:t>
      </w:r>
    </w:p>
    <w:p>
      <w:pPr>
        <w:keepNext w:val="0"/>
        <w:keepLines w:val="0"/>
        <w:pageBreakBefore w:val="0"/>
        <w:widowControl/>
        <w:kinsoku/>
        <w:wordWrap/>
        <w:overflowPunct/>
        <w:topLinePunct w:val="0"/>
        <w:autoSpaceDE/>
        <w:autoSpaceDN/>
        <w:bidi w:val="0"/>
        <w:adjustRightInd/>
        <w:spacing w:line="560" w:lineRule="exact"/>
        <w:jc w:val="center"/>
        <w:textAlignment w:val="auto"/>
        <w:outlineLvl w:val="9"/>
        <w:rPr>
          <w:rFonts w:ascii="仿宋_GB2312" w:eastAsia="仿宋_GB2312"/>
          <w:sz w:val="32"/>
          <w:szCs w:val="32"/>
        </w:rPr>
      </w:pPr>
      <w:r>
        <w:rPr>
          <w:rFonts w:ascii="仿宋_GB2312" w:eastAsia="仿宋_GB2312"/>
          <w:sz w:val="32"/>
          <w:szCs w:val="32"/>
        </w:rPr>
        <w:br w:type="page"/>
      </w:r>
      <w:r>
        <w:rPr>
          <w:rFonts w:hint="eastAsia" w:ascii="方正小标宋简体" w:eastAsia="方正小标宋简体"/>
          <w:sz w:val="44"/>
          <w:szCs w:val="44"/>
        </w:rPr>
        <w:t>中共汶川县纪委 汶川县监察委</w:t>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对反映县管干部问题线索直接了结工作办法</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第一条</w:t>
      </w:r>
      <w:r>
        <w:rPr>
          <w:rFonts w:hint="eastAsia" w:ascii="仿宋_GB2312" w:eastAsia="仿宋_GB2312"/>
          <w:sz w:val="32"/>
          <w:szCs w:val="32"/>
        </w:rPr>
        <w:t xml:space="preserve"> 为规范问题线索直接了结工作，根据《中国共产党纪律检查机关监督执纪工作规则》《中央纪委办公厅关于切实加强和规范反映领导干部问题线索管理的通知》,参照《中共四川省纪委机关对反映省管干部问题线索直接了结的工作办法》《阿坝州纪委监委对反映州管干部问题线索直接了结工作办法（试行）》等规定，结合工作实际，制定本办法。</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第二条</w:t>
      </w:r>
      <w:r>
        <w:rPr>
          <w:rFonts w:hint="eastAsia" w:ascii="仿宋_GB2312" w:eastAsia="仿宋_GB2312"/>
          <w:sz w:val="32"/>
          <w:szCs w:val="32"/>
        </w:rPr>
        <w:t xml:space="preserve">  本办法所称的问题线索直接了结，是指对收到的反映县管干部的问题线索，不经过谈话函询或者初核核实工作，按照规定程序审批或者提请专题会议研究决定后即予以了结的了结方式。</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第三条</w:t>
      </w:r>
      <w:r>
        <w:rPr>
          <w:rFonts w:hint="eastAsia" w:ascii="仿宋_GB2312" w:eastAsia="仿宋_GB2312"/>
          <w:sz w:val="32"/>
          <w:szCs w:val="32"/>
        </w:rPr>
        <w:t xml:space="preserve">  县纪委监委各纪检监察室在收到案件监督管理室移送的问题线索后，应当结合对被反映人的其他问题线索的处置、处理情况，以及被反映人的党风廉政情况，进行综合研判，符合以下条件之一的，可以提出直接了结的建议意见：</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（一）被反映人已被开除公职的；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（二）被反映人已死亡，且不属于《中国共产党纪律处分条例》第36条规定情形的；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（三）与已了结的问题线索被反映人、反映问题内容完全一致的；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（四）转有关单位（部门）处理，不需要回复处理结果的；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（五）与已了结的问题线索被反映人、反映问题实质性内容一致的；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（六）道听途说或主观臆测，明显不合常理，无必要开展谈话函询或者初步核实的；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（七）反映问题笼统，不涉及具体问题，或者被反映人不明确，无可能开展谈话函询或者初步核实的；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（八）被反映人年龄超过70岁，或者反映的问题发生在10年前，且所反映问题具有一般性，查清了只能给予轻处分或者批评教育，归入暂存待查类线索一年内没有新反映的；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（九）被反映人被判处刑罚且已生效后，又收到涉及其在职时涉嫌新的职务犯罪问题线索，查清了不影响定罪量刑的；</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（十）其他符合直接了结条件的情形。</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第四条</w:t>
      </w:r>
      <w:r>
        <w:rPr>
          <w:rFonts w:hint="eastAsia" w:ascii="仿宋_GB2312" w:eastAsia="仿宋_GB2312"/>
          <w:sz w:val="32"/>
          <w:szCs w:val="32"/>
        </w:rPr>
        <w:t xml:space="preserve">  符合直接了结情形的，承办室经集体排查后，可以提出拟直接了结的建议意见，按程序报分管副书记审批后，通报案件监督管理室，并提请县纪委监委专题会议或常委会（委务会）研究。</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第五条</w:t>
      </w:r>
      <w:r>
        <w:rPr>
          <w:rFonts w:hint="eastAsia" w:ascii="仿宋_GB2312" w:eastAsia="仿宋_GB2312"/>
          <w:sz w:val="32"/>
          <w:szCs w:val="32"/>
        </w:rPr>
        <w:t xml:space="preserve">  专题会议由县纪委书记或者委托分管案件监督管理的副书记主持，分管案件监督管理工作和审查调查的副书记、常委，案件监督管理室、承办室负责人参加。会务工作由案件监督管理室承办。</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第六条</w:t>
      </w:r>
      <w:r>
        <w:rPr>
          <w:rFonts w:hint="eastAsia" w:ascii="仿宋_GB2312" w:eastAsia="仿宋_GB2312"/>
          <w:sz w:val="32"/>
          <w:szCs w:val="32"/>
        </w:rPr>
        <w:t xml:space="preserve">  专题会议原则上每月召开一次。根据工作需要，也可以适时召开。</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第七条</w:t>
      </w:r>
      <w:r>
        <w:rPr>
          <w:rFonts w:hint="eastAsia" w:ascii="仿宋_GB2312" w:eastAsia="仿宋_GB2312"/>
          <w:sz w:val="32"/>
          <w:szCs w:val="32"/>
        </w:rPr>
        <w:t xml:space="preserve">  专题会议研究决定后，由案件监督管理室制作会议纪要，按程序报县纪委监委主要负责人批准后，分送相关承办室。承办室应当将会议纪要和相关材料归档，并归入被反映人个人廉政档案。</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第八条</w:t>
      </w:r>
      <w:r>
        <w:rPr>
          <w:rFonts w:hint="eastAsia" w:ascii="仿宋_GB2312" w:eastAsia="仿宋_GB2312"/>
          <w:sz w:val="32"/>
          <w:szCs w:val="32"/>
        </w:rPr>
        <w:t xml:space="preserve">  案件监督管理室应当定期向信访室反馈县管干部问题线索直接了结的情况。</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对署实名反映的问题线索，承办室在问题线索直接了结后，应当在15个工作日内，以适当方式向反映人反馈了结情况。反映人的反馈情况有异议的，承办室应当认真听取，并耐心做好劝导解释工作，促进息诉息访。如果反映人提供新的证件或者具有可查性的问题线索，承办室应当按相关程序办理。</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第九条</w:t>
      </w:r>
      <w:r>
        <w:rPr>
          <w:rFonts w:hint="eastAsia" w:ascii="仿宋_GB2312" w:eastAsia="仿宋_GB2312"/>
          <w:sz w:val="32"/>
          <w:szCs w:val="32"/>
        </w:rPr>
        <w:t xml:space="preserve">  本办法自印发之日起施行。</w:t>
      </w:r>
    </w:p>
    <w:p>
      <w:pPr>
        <w:keepNext w:val="0"/>
        <w:keepLines w:val="0"/>
        <w:pageBreakBefore w:val="0"/>
        <w:widowControl/>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ascii="仿宋_GB2312" w:eastAsia="仿宋_GB2312"/>
          <w:sz w:val="32"/>
          <w:szCs w:val="32"/>
        </w:rPr>
        <w:br w:type="page"/>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中共汶川县纪委 汶川县监察委</w:t>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问题线索了结反馈实施办法</w:t>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   第一条</w:t>
      </w:r>
      <w:r>
        <w:rPr>
          <w:rFonts w:hint="eastAsia" w:ascii="仿宋_GB2312" w:eastAsia="仿宋_GB2312"/>
          <w:sz w:val="32"/>
          <w:szCs w:val="32"/>
        </w:rPr>
        <w:t xml:space="preserve">  为进一步规范问题线索了结情况的反馈工作，激励干部改革创新干事创业，有效减少重复信访，提高监督执纪效率，根据《中国共产党纪律检查机关监督执纪工作规则》《中共四川省委办公厅 四川省人民政府办公厅关于充分调动干部积极性激励改革创新干事创业的意见（试行）》《中共四川省纪委机关对反映省管干部问题线索了结反馈的实施办法（试行）》等规定，结合工作实际，制定本办法。</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   第二条</w:t>
      </w:r>
      <w:r>
        <w:rPr>
          <w:rFonts w:hint="eastAsia" w:ascii="仿宋_GB2312" w:eastAsia="仿宋_GB2312"/>
          <w:sz w:val="32"/>
          <w:szCs w:val="32"/>
        </w:rPr>
        <w:t xml:space="preserve">  本办法所称问题线索了结反馈是指县纪委监委根据党章、纪律规定、法律法规以及政策规定，在监督执纪监察过程中，对反映县管干部的问题线索，经谈话函询或初步核实予以了结后，将了结情况以适当方式告知被反映人和反映人。</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第三条 </w:t>
      </w:r>
      <w:r>
        <w:rPr>
          <w:rFonts w:hint="eastAsia" w:ascii="仿宋_GB2312" w:eastAsia="仿宋_GB2312"/>
          <w:sz w:val="32"/>
          <w:szCs w:val="32"/>
        </w:rPr>
        <w:t xml:space="preserve"> 反馈工作坚持实事求是、依纪依规、“谁办理、谁反馈”的原则。</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第四条</w:t>
      </w:r>
      <w:r>
        <w:rPr>
          <w:rFonts w:hint="eastAsia" w:ascii="仿宋_GB2312" w:eastAsia="仿宋_GB2312"/>
          <w:sz w:val="32"/>
          <w:szCs w:val="32"/>
        </w:rPr>
        <w:t xml:space="preserve">  问题线索符合以下条件之一的，应当反馈被反映人：</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（一）经谈话函询后，因反映不实予以了结的；</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（二）经谈话函询后，没有证据证明存在问题予以了结的；</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（三）经初核核实后，认定失实予以了结的。</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直接了结的问题线索，以及经谈话函询或初核核实后，发现被反映人存在问题，以适当方式处理后予以了结的问题线索，不适用本办法反馈被反映人。</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第五条 </w:t>
      </w:r>
      <w:r>
        <w:rPr>
          <w:rFonts w:hint="eastAsia" w:ascii="仿宋_GB2312" w:eastAsia="仿宋_GB2312"/>
          <w:sz w:val="32"/>
          <w:szCs w:val="32"/>
        </w:rPr>
        <w:t xml:space="preserve"> 对拟予以了结的问题线索，符合反馈条件的，承办部门在问题线索办理情况报告中，应当明确提出反馈意见，经县纪委主要同志同意后予以反馈。需要被反映人所在党组织主要负责人与本人谈话，以及需要被反映人在领导班子民主生活会或专题组织生活会上做出说明等相关建议，应当一并在反馈意见中提出。</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第六条  </w:t>
      </w:r>
      <w:r>
        <w:rPr>
          <w:rFonts w:hint="eastAsia" w:ascii="仿宋_GB2312" w:eastAsia="仿宋_GB2312"/>
          <w:sz w:val="32"/>
          <w:szCs w:val="32"/>
        </w:rPr>
        <w:t>承办部门应当在问题线索予以了结15个工作日内，以县纪委办公室名义发函反馈被反映人，同时抄送其所在党组织主要负责人，并送案件监督管理室备案。反馈结论包括以下三类：</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（一）经查失实予以了结；</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（二）没有证据证明存在问题予以了结；</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（三）采信本人陈述予以了结。</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仿宋_GB2312" w:eastAsia="仿宋_GB2312"/>
          <w:sz w:val="32"/>
          <w:szCs w:val="32"/>
        </w:rPr>
        <w:t xml:space="preserve">    对经查失实予以了结的，还应当告知予以澄清的相关程序和要求。</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第七条 </w:t>
      </w:r>
      <w:r>
        <w:rPr>
          <w:rFonts w:hint="eastAsia" w:ascii="仿宋_GB2312" w:eastAsia="仿宋_GB2312"/>
          <w:sz w:val="32"/>
          <w:szCs w:val="32"/>
        </w:rPr>
        <w:t xml:space="preserve"> 需要被反映人所在党组织主要负责人与本人谈话的，承办部门应当要求党组织主要负责人在收到反馈函后15个工作日内进行，谈话时派人做好详细记录，同级纪委（派驻纪检监察组）主要负责人须在场，谈话结束后7个工作日内，将谈话实施情况、本人意见态度等书面报县纪委，由承办部门负责接收。</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第八条  </w:t>
      </w:r>
      <w:r>
        <w:rPr>
          <w:rFonts w:hint="eastAsia" w:ascii="仿宋_GB2312" w:eastAsia="仿宋_GB2312"/>
          <w:sz w:val="32"/>
          <w:szCs w:val="32"/>
        </w:rPr>
        <w:t>需要被反映人在领导班子民主生活会或者专题组织生活会上作出说明的，承办部门应当要求被反映人所在党组织在相关会议结束后15个工作日内，将工作开展情况、本人说明情况、班子成员有关意见建议等书面报县纪委，由承办部门接受。</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第九条</w:t>
      </w:r>
      <w:r>
        <w:rPr>
          <w:rFonts w:hint="eastAsia" w:ascii="仿宋_GB2312" w:eastAsia="仿宋_GB2312"/>
          <w:sz w:val="32"/>
          <w:szCs w:val="32"/>
        </w:rPr>
        <w:t xml:space="preserve">  对经查失实的问题线索，被反映人因此受到不良影响的，经被反映人申请，被反映人所在党组织同意，承办部门可以提出予以澄清意见，报县纪委主要领导同意后，在被反映人所在单位以适当方式在适当范围内予以通报澄清，并按照干部管理权限，及时通报组织人事部门。澄清范围应当与被反映人受到不良影响的波及面相对应。</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第十条</w:t>
      </w:r>
      <w:r>
        <w:rPr>
          <w:rFonts w:hint="eastAsia" w:ascii="仿宋_GB2312" w:eastAsia="仿宋_GB2312"/>
          <w:sz w:val="32"/>
          <w:szCs w:val="32"/>
        </w:rPr>
        <w:t xml:space="preserve">  在向被反映人反馈了结情况时，应当依纪依法保障反映人的合法权益，严禁泄露反映人信息，防止反映人受到打击报复。对打击报复反映人的行为，应当及时制止和纠正，对相关责任人员，依纪依法严肃处理。</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第十一条</w:t>
      </w:r>
      <w:r>
        <w:rPr>
          <w:rFonts w:hint="eastAsia" w:ascii="仿宋_GB2312" w:eastAsia="仿宋_GB2312"/>
          <w:sz w:val="32"/>
          <w:szCs w:val="32"/>
        </w:rPr>
        <w:t xml:space="preserve">  对署实名反映的问题线索，承办室在问题线索予以了结后，应当在15个工作日内，以适当方式向反映人反馈了结情况。反映人对反馈情况由异议的，承办室应当认真听取，并耐心做好劝导解释工作，促进息诉息访。如果反映人提供新的证据或者具有可查性的问题线索，承办室应当按相关程序办理。</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第十二条 </w:t>
      </w:r>
      <w:r>
        <w:rPr>
          <w:rFonts w:hint="eastAsia" w:ascii="仿宋_GB2312" w:eastAsia="仿宋_GB2312"/>
          <w:sz w:val="32"/>
          <w:szCs w:val="32"/>
        </w:rPr>
        <w:t xml:space="preserve"> 对涉及群众利益经查失实予以了结的匿名反映问题线索，反馈了结情况有利于息诉息访，或者不反馈了结情况可能引起重复上访、越级上访，甚至群体性事件等不良影响的，承办部门应当提出反馈意见，报县纪委主要领同意后，采取交由有关单位以适当方式通报、向被反映人所在单位内部通报、在媒体上公布有关情况等予以反馈。反馈范围应当与问题涉及利益的重点人员或群体范围相对应。</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第十三条</w:t>
      </w:r>
      <w:r>
        <w:rPr>
          <w:rFonts w:hint="eastAsia" w:ascii="仿宋_GB2312" w:eastAsia="仿宋_GB2312"/>
          <w:sz w:val="32"/>
          <w:szCs w:val="32"/>
        </w:rPr>
        <w:t xml:space="preserve">  承办部门在对被反映人予以澄清以及对涉及群众利益的匿名反映问题线索反馈了结情况时，应当协调宣传部门做好舆情研判及处置等相关工作。</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第十四条</w:t>
      </w:r>
      <w:r>
        <w:rPr>
          <w:rFonts w:hint="eastAsia" w:ascii="仿宋_GB2312" w:eastAsia="仿宋_GB2312"/>
          <w:sz w:val="32"/>
          <w:szCs w:val="32"/>
        </w:rPr>
        <w:t xml:space="preserve">  信访室、案件监督管理室、纪检监察室应当加强沟通协调。案件监督管理室应当及时汇总信访类问题线索办理情况，定期向信访室反馈。</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第十五条  </w:t>
      </w:r>
      <w:r>
        <w:rPr>
          <w:rFonts w:hint="eastAsia" w:ascii="仿宋_GB2312" w:eastAsia="仿宋_GB2312"/>
          <w:sz w:val="32"/>
          <w:szCs w:val="32"/>
        </w:rPr>
        <w:t>对予以了结的问题线索，除上级纪委转送件外，信访室在收到了结情况后，再收到没有新内容的重复举报，应当作为重复件处理，不再移交案件监督管理室。</w:t>
      </w:r>
    </w:p>
    <w:p>
      <w:pPr>
        <w:keepNext w:val="0"/>
        <w:keepLines w:val="0"/>
        <w:pageBreakBefore w:val="0"/>
        <w:kinsoku/>
        <w:wordWrap/>
        <w:overflowPunct/>
        <w:topLinePunct w:val="0"/>
        <w:autoSpaceDE/>
        <w:autoSpaceDN/>
        <w:bidi w:val="0"/>
        <w:adjustRightInd/>
        <w:spacing w:line="560" w:lineRule="exact"/>
        <w:jc w:val="left"/>
        <w:textAlignment w:val="auto"/>
        <w:outlineLvl w:val="9"/>
        <w:rPr>
          <w:rFonts w:ascii="仿宋_GB2312" w:eastAsia="仿宋_GB2312"/>
          <w:sz w:val="32"/>
          <w:szCs w:val="32"/>
        </w:rPr>
      </w:pPr>
      <w:r>
        <w:rPr>
          <w:rFonts w:hint="eastAsia" w:ascii="黑体" w:hAnsi="黑体" w:eastAsia="黑体"/>
          <w:sz w:val="32"/>
          <w:szCs w:val="32"/>
        </w:rPr>
        <w:t xml:space="preserve">    第十六条 </w:t>
      </w:r>
      <w:r>
        <w:rPr>
          <w:rFonts w:hint="eastAsia" w:ascii="仿宋_GB2312" w:eastAsia="仿宋_GB2312"/>
          <w:sz w:val="32"/>
          <w:szCs w:val="32"/>
        </w:rPr>
        <w:t xml:space="preserve"> 案件监督管理室应当加强对问题线索办理情况的跟踪督查，确保问题线索去向清楚、反馈及时。</w:t>
      </w: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r>
        <w:rPr>
          <w:rFonts w:hint="eastAsia" w:ascii="黑体" w:hAnsi="黑体" w:eastAsia="黑体"/>
          <w:sz w:val="32"/>
          <w:szCs w:val="32"/>
        </w:rPr>
        <w:t xml:space="preserve">第十七条 </w:t>
      </w:r>
      <w:r>
        <w:rPr>
          <w:rFonts w:hint="eastAsia" w:ascii="仿宋_GB2312" w:eastAsia="仿宋_GB2312"/>
          <w:sz w:val="32"/>
          <w:szCs w:val="32"/>
        </w:rPr>
        <w:t xml:space="preserve"> 本办法自印发之日起施行。</w:t>
      </w: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jc w:val="left"/>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谈话室使用管理办法</w:t>
      </w:r>
    </w:p>
    <w:p>
      <w:pPr>
        <w:keepNext w:val="0"/>
        <w:keepLines w:val="0"/>
        <w:pageBreakBefore w:val="0"/>
        <w:kinsoku/>
        <w:wordWrap/>
        <w:overflowPunct/>
        <w:topLinePunct w:val="0"/>
        <w:autoSpaceDE/>
        <w:autoSpaceDN/>
        <w:bidi w:val="0"/>
        <w:adjustRightInd/>
        <w:snapToGrid w:val="0"/>
        <w:spacing w:line="560" w:lineRule="exact"/>
        <w:jc w:val="center"/>
        <w:textAlignment w:val="auto"/>
        <w:outlineLvl w:val="9"/>
        <w:rPr>
          <w:rFonts w:eastAsia="楷体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eastAsia="黑体"/>
          <w:sz w:val="32"/>
          <w:szCs w:val="32"/>
        </w:rPr>
        <w:t>第一条</w:t>
      </w:r>
      <w:r>
        <w:rPr>
          <w:rFonts w:eastAsia="仿宋_GB2312"/>
          <w:sz w:val="32"/>
          <w:szCs w:val="32"/>
        </w:rPr>
        <w:t xml:space="preserve">  </w:t>
      </w:r>
      <w:r>
        <w:rPr>
          <w:rFonts w:hint="eastAsia" w:eastAsia="仿宋_GB2312"/>
          <w:sz w:val="32"/>
          <w:szCs w:val="32"/>
        </w:rPr>
        <w:t>谈话室遵循谁使用、谁管理、谁负责的原则。谈话期间，办案部门对谈话室安全管理工作负总责。案件监督管理室负责监督检查，并做好相关安全设施的协调保障工作。</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eastAsia="黑体"/>
          <w:sz w:val="32"/>
          <w:szCs w:val="32"/>
        </w:rPr>
        <w:t>第</w:t>
      </w:r>
      <w:r>
        <w:rPr>
          <w:rFonts w:hint="eastAsia" w:eastAsia="黑体"/>
          <w:sz w:val="32"/>
          <w:szCs w:val="32"/>
        </w:rPr>
        <w:t>二</w:t>
      </w:r>
      <w:r>
        <w:rPr>
          <w:rFonts w:eastAsia="黑体"/>
          <w:sz w:val="32"/>
          <w:szCs w:val="32"/>
        </w:rPr>
        <w:t>条</w:t>
      </w:r>
      <w:r>
        <w:rPr>
          <w:rFonts w:eastAsia="仿宋_GB2312"/>
          <w:sz w:val="32"/>
          <w:szCs w:val="32"/>
        </w:rPr>
        <w:t xml:space="preserve">  </w:t>
      </w:r>
      <w:r>
        <w:rPr>
          <w:rFonts w:hint="eastAsia" w:eastAsia="仿宋_GB2312"/>
          <w:sz w:val="32"/>
          <w:szCs w:val="32"/>
        </w:rPr>
        <w:t>审查调查</w:t>
      </w:r>
      <w:r>
        <w:rPr>
          <w:rFonts w:eastAsia="仿宋_GB2312"/>
          <w:sz w:val="32"/>
          <w:szCs w:val="32"/>
        </w:rPr>
        <w:t>部门需使用</w:t>
      </w:r>
      <w:r>
        <w:rPr>
          <w:rFonts w:hint="eastAsia" w:eastAsia="仿宋_GB2312"/>
          <w:sz w:val="32"/>
          <w:szCs w:val="32"/>
        </w:rPr>
        <w:t>谈话室</w:t>
      </w:r>
      <w:r>
        <w:rPr>
          <w:rFonts w:eastAsia="仿宋_GB2312"/>
          <w:sz w:val="32"/>
          <w:szCs w:val="32"/>
        </w:rPr>
        <w:t>的，应提前1天填写《</w:t>
      </w:r>
      <w:r>
        <w:rPr>
          <w:rFonts w:hint="eastAsia" w:eastAsia="仿宋_GB2312"/>
          <w:sz w:val="32"/>
          <w:szCs w:val="32"/>
        </w:rPr>
        <w:t>汶川县纪委监委谈话室使用审批表</w:t>
      </w:r>
      <w:r>
        <w:rPr>
          <w:rFonts w:eastAsia="仿宋_GB2312"/>
          <w:sz w:val="32"/>
          <w:szCs w:val="32"/>
        </w:rPr>
        <w:t>》，</w:t>
      </w:r>
      <w:r>
        <w:rPr>
          <w:rFonts w:hint="eastAsia" w:eastAsia="仿宋_GB2312"/>
          <w:sz w:val="32"/>
          <w:szCs w:val="32"/>
        </w:rPr>
        <w:t>经分管常委（委员）、联系副书记（副主任）审批后，送案管室安排使用谈话室</w:t>
      </w:r>
      <w:r>
        <w:rPr>
          <w:rFonts w:eastAsia="仿宋_GB2312"/>
          <w:sz w:val="32"/>
          <w:szCs w:val="32"/>
        </w:rPr>
        <w:t>。其中</w:t>
      </w:r>
      <w:r>
        <w:rPr>
          <w:rFonts w:hint="eastAsia" w:eastAsia="仿宋_GB2312"/>
          <w:sz w:val="32"/>
          <w:szCs w:val="32"/>
        </w:rPr>
        <w:t>乡镇纪委、部门纪检组（纪委）</w:t>
      </w:r>
      <w:r>
        <w:rPr>
          <w:rFonts w:eastAsia="仿宋_GB2312"/>
          <w:sz w:val="32"/>
          <w:szCs w:val="32"/>
        </w:rPr>
        <w:t>使用</w:t>
      </w:r>
      <w:r>
        <w:rPr>
          <w:rFonts w:hint="eastAsia" w:eastAsia="仿宋_GB2312"/>
          <w:sz w:val="32"/>
          <w:szCs w:val="32"/>
        </w:rPr>
        <w:t>谈话室</w:t>
      </w:r>
      <w:r>
        <w:rPr>
          <w:rFonts w:eastAsia="仿宋_GB2312"/>
          <w:sz w:val="32"/>
          <w:szCs w:val="32"/>
        </w:rPr>
        <w:t>的，</w:t>
      </w:r>
      <w:r>
        <w:rPr>
          <w:rFonts w:hint="eastAsia" w:eastAsia="仿宋_GB2312"/>
          <w:sz w:val="32"/>
          <w:szCs w:val="32"/>
        </w:rPr>
        <w:t>由县纪委监委相关联系室按程序办理；省、州相关部门使用谈话室的，由委联系人按程序办理。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hint="eastAsia" w:ascii="黑体" w:hAnsi="黑体" w:eastAsia="黑体"/>
          <w:sz w:val="32"/>
          <w:szCs w:val="32"/>
        </w:rPr>
        <w:t>第三条</w:t>
      </w:r>
      <w:r>
        <w:rPr>
          <w:rFonts w:hint="eastAsia" w:eastAsia="仿宋_GB2312"/>
          <w:sz w:val="32"/>
          <w:szCs w:val="32"/>
        </w:rPr>
        <w:t xml:space="preserve">  审查调查单位不准将易碎、易燃、易爆、坚硬锋利的物品及保温瓶、玻璃杯带入谈话室，严禁在谈话室抽烟，不得将通信、录音、录像设备带入谈话室；除正常用餐外，不得随意给谈话对象提供饮食用品，不得将涉案对象衣服等其他生活用品带入谈话室。</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hint="eastAsia" w:eastAsia="黑体"/>
          <w:sz w:val="32"/>
          <w:szCs w:val="32"/>
        </w:rPr>
        <w:t xml:space="preserve">第四条  </w:t>
      </w:r>
      <w:r>
        <w:rPr>
          <w:rFonts w:hint="eastAsia" w:eastAsia="仿宋_GB2312"/>
          <w:sz w:val="32"/>
          <w:szCs w:val="32"/>
        </w:rPr>
        <w:t>审查调查单位在使用谈话室期间，对谈话对象的饮食、健康安全负全责，需要医生、陪护等人员时，应当及时通知案管室做好相关协调工作。谈话对象如需服用药品，需经医护人员同意后方可服用。</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eastAsia="黑体"/>
          <w:sz w:val="32"/>
          <w:szCs w:val="32"/>
        </w:rPr>
        <w:t>第</w:t>
      </w:r>
      <w:r>
        <w:rPr>
          <w:rFonts w:hint="eastAsia" w:eastAsia="黑体"/>
          <w:sz w:val="32"/>
          <w:szCs w:val="32"/>
        </w:rPr>
        <w:t>五</w:t>
      </w:r>
      <w:r>
        <w:rPr>
          <w:rFonts w:eastAsia="黑体"/>
          <w:sz w:val="32"/>
          <w:szCs w:val="32"/>
        </w:rPr>
        <w:t>条</w:t>
      </w:r>
      <w:r>
        <w:rPr>
          <w:rFonts w:eastAsia="仿宋_GB2312"/>
          <w:sz w:val="32"/>
          <w:szCs w:val="32"/>
        </w:rPr>
        <w:t xml:space="preserve">  </w:t>
      </w:r>
      <w:r>
        <w:rPr>
          <w:rFonts w:hint="eastAsia" w:eastAsia="仿宋_GB2312"/>
          <w:sz w:val="32"/>
          <w:szCs w:val="32"/>
        </w:rPr>
        <w:t>谈话室使用单位</w:t>
      </w:r>
      <w:r>
        <w:rPr>
          <w:rFonts w:eastAsia="仿宋_GB2312"/>
          <w:sz w:val="32"/>
          <w:szCs w:val="32"/>
        </w:rPr>
        <w:t>应主动加强对</w:t>
      </w:r>
      <w:r>
        <w:rPr>
          <w:rFonts w:hint="eastAsia" w:eastAsia="仿宋_GB2312"/>
          <w:sz w:val="32"/>
          <w:szCs w:val="32"/>
        </w:rPr>
        <w:t>谈话室</w:t>
      </w:r>
      <w:r>
        <w:rPr>
          <w:rFonts w:eastAsia="仿宋_GB2312"/>
          <w:sz w:val="32"/>
          <w:szCs w:val="32"/>
        </w:rPr>
        <w:t>公共设施设备的保护，管理好办案人员、陪护人员，爱护公物、讲究卫生、节约水电。</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eastAsia="黑体"/>
          <w:sz w:val="32"/>
          <w:szCs w:val="32"/>
        </w:rPr>
        <w:t>第</w:t>
      </w:r>
      <w:r>
        <w:rPr>
          <w:rFonts w:hint="eastAsia" w:eastAsia="黑体"/>
          <w:sz w:val="32"/>
          <w:szCs w:val="32"/>
        </w:rPr>
        <w:t>六</w:t>
      </w:r>
      <w:r>
        <w:rPr>
          <w:rFonts w:eastAsia="黑体"/>
          <w:sz w:val="32"/>
          <w:szCs w:val="32"/>
        </w:rPr>
        <w:t>条</w:t>
      </w:r>
      <w:r>
        <w:rPr>
          <w:rFonts w:eastAsia="仿宋_GB2312"/>
          <w:sz w:val="32"/>
          <w:szCs w:val="32"/>
        </w:rPr>
        <w:t xml:space="preserve">  </w:t>
      </w:r>
      <w:r>
        <w:rPr>
          <w:rFonts w:hint="eastAsia" w:eastAsia="仿宋_GB2312"/>
          <w:sz w:val="32"/>
          <w:szCs w:val="32"/>
        </w:rPr>
        <w:t>谈话室</w:t>
      </w:r>
      <w:r>
        <w:rPr>
          <w:rFonts w:eastAsia="仿宋_GB2312"/>
          <w:sz w:val="32"/>
          <w:szCs w:val="32"/>
        </w:rPr>
        <w:t>使用完毕，</w:t>
      </w:r>
      <w:r>
        <w:rPr>
          <w:rFonts w:hint="eastAsia" w:eastAsia="仿宋_GB2312"/>
          <w:sz w:val="32"/>
          <w:szCs w:val="32"/>
        </w:rPr>
        <w:t>谈话室使用单位</w:t>
      </w:r>
      <w:r>
        <w:rPr>
          <w:rFonts w:eastAsia="仿宋_GB2312"/>
          <w:sz w:val="32"/>
          <w:szCs w:val="32"/>
        </w:rPr>
        <w:t>须提前通知案管室</w:t>
      </w:r>
      <w:r>
        <w:rPr>
          <w:rFonts w:hint="eastAsia" w:eastAsia="仿宋_GB2312"/>
          <w:sz w:val="32"/>
          <w:szCs w:val="32"/>
        </w:rPr>
        <w:t>、办公室</w:t>
      </w:r>
      <w:r>
        <w:rPr>
          <w:rFonts w:eastAsia="仿宋_GB2312"/>
          <w:sz w:val="32"/>
          <w:szCs w:val="32"/>
        </w:rPr>
        <w:t>，并要求办案人员和陪护人员做好设施设备的清点、物品移交。</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eastAsia="仿宋_GB2312"/>
          <w:sz w:val="32"/>
          <w:szCs w:val="32"/>
        </w:rPr>
      </w:pPr>
      <w:r>
        <w:rPr>
          <w:rFonts w:eastAsia="黑体"/>
          <w:sz w:val="32"/>
          <w:szCs w:val="32"/>
        </w:rPr>
        <w:t>第</w:t>
      </w:r>
      <w:r>
        <w:rPr>
          <w:rFonts w:hint="eastAsia" w:eastAsia="黑体"/>
          <w:sz w:val="32"/>
          <w:szCs w:val="32"/>
        </w:rPr>
        <w:t>七</w:t>
      </w:r>
      <w:r>
        <w:rPr>
          <w:rFonts w:eastAsia="黑体"/>
          <w:sz w:val="32"/>
          <w:szCs w:val="32"/>
        </w:rPr>
        <w:t>条</w:t>
      </w:r>
      <w:r>
        <w:rPr>
          <w:rFonts w:eastAsia="仿宋_GB2312"/>
          <w:sz w:val="32"/>
          <w:szCs w:val="32"/>
        </w:rPr>
        <w:t xml:space="preserve"> 与</w:t>
      </w:r>
      <w:r>
        <w:rPr>
          <w:rFonts w:hint="eastAsia" w:eastAsia="仿宋_GB2312"/>
          <w:sz w:val="32"/>
          <w:szCs w:val="32"/>
        </w:rPr>
        <w:t>审查调查</w:t>
      </w:r>
      <w:r>
        <w:rPr>
          <w:rFonts w:eastAsia="仿宋_GB2312"/>
          <w:sz w:val="32"/>
          <w:szCs w:val="32"/>
        </w:rPr>
        <w:t>工作相关的办案人员、陪护人员、案管人员，</w:t>
      </w:r>
      <w:r>
        <w:rPr>
          <w:rFonts w:hint="eastAsia" w:eastAsia="仿宋_GB2312"/>
          <w:sz w:val="32"/>
          <w:szCs w:val="32"/>
        </w:rPr>
        <w:t>县</w:t>
      </w:r>
      <w:r>
        <w:rPr>
          <w:rFonts w:eastAsia="仿宋_GB2312"/>
          <w:sz w:val="32"/>
          <w:szCs w:val="32"/>
        </w:rPr>
        <w:t>纪委</w:t>
      </w:r>
      <w:r>
        <w:rPr>
          <w:rFonts w:hint="eastAsia" w:eastAsia="仿宋_GB2312"/>
          <w:sz w:val="32"/>
          <w:szCs w:val="32"/>
        </w:rPr>
        <w:t>监委</w:t>
      </w:r>
      <w:r>
        <w:rPr>
          <w:rFonts w:eastAsia="仿宋_GB2312"/>
          <w:sz w:val="32"/>
          <w:szCs w:val="32"/>
        </w:rPr>
        <w:t>相关领导，因工作需要，可以出入</w:t>
      </w:r>
      <w:r>
        <w:rPr>
          <w:rFonts w:hint="eastAsia" w:eastAsia="仿宋_GB2312"/>
          <w:sz w:val="32"/>
          <w:szCs w:val="32"/>
        </w:rPr>
        <w:t>谈话室，</w:t>
      </w:r>
      <w:r>
        <w:rPr>
          <w:rFonts w:eastAsia="仿宋_GB2312"/>
          <w:sz w:val="32"/>
          <w:szCs w:val="32"/>
        </w:rPr>
        <w:t>禁止</w:t>
      </w:r>
      <w:r>
        <w:rPr>
          <w:rFonts w:hint="eastAsia" w:eastAsia="仿宋_GB2312"/>
          <w:sz w:val="32"/>
          <w:szCs w:val="32"/>
        </w:rPr>
        <w:t>无关</w:t>
      </w:r>
      <w:r>
        <w:rPr>
          <w:rFonts w:eastAsia="仿宋_GB2312"/>
          <w:sz w:val="32"/>
          <w:szCs w:val="32"/>
        </w:rPr>
        <w:t>人员</w:t>
      </w:r>
      <w:r>
        <w:rPr>
          <w:rFonts w:hint="eastAsia" w:eastAsia="仿宋_GB2312"/>
          <w:sz w:val="32"/>
          <w:szCs w:val="32"/>
        </w:rPr>
        <w:t>进</w:t>
      </w:r>
      <w:r>
        <w:rPr>
          <w:rFonts w:eastAsia="仿宋_GB2312"/>
          <w:sz w:val="32"/>
          <w:szCs w:val="32"/>
        </w:rPr>
        <w:t>入。</w:t>
      </w:r>
    </w:p>
    <w:p>
      <w:pPr>
        <w:keepNext w:val="0"/>
        <w:keepLines w:val="0"/>
        <w:pageBreakBefore w:val="0"/>
        <w:kinsoku/>
        <w:wordWrap/>
        <w:overflowPunct/>
        <w:topLinePunct w:val="0"/>
        <w:autoSpaceDE/>
        <w:autoSpaceDN/>
        <w:bidi w:val="0"/>
        <w:adjustRightInd/>
        <w:spacing w:line="560" w:lineRule="exact"/>
        <w:ind w:firstLine="630"/>
        <w:textAlignment w:val="auto"/>
        <w:outlineLvl w:val="9"/>
        <w:rPr>
          <w:rFonts w:eastAsia="仿宋_GB2312"/>
          <w:sz w:val="32"/>
          <w:szCs w:val="32"/>
        </w:rPr>
      </w:pPr>
      <w:r>
        <w:rPr>
          <w:rFonts w:eastAsia="黑体"/>
          <w:sz w:val="32"/>
          <w:szCs w:val="32"/>
        </w:rPr>
        <w:t>第</w:t>
      </w:r>
      <w:r>
        <w:rPr>
          <w:rFonts w:hint="eastAsia" w:eastAsia="黑体"/>
          <w:sz w:val="32"/>
          <w:szCs w:val="32"/>
        </w:rPr>
        <w:t>八</w:t>
      </w:r>
      <w:r>
        <w:rPr>
          <w:rFonts w:eastAsia="黑体"/>
          <w:sz w:val="32"/>
          <w:szCs w:val="32"/>
        </w:rPr>
        <w:t>条</w:t>
      </w:r>
      <w:r>
        <w:rPr>
          <w:rFonts w:hint="eastAsia" w:eastAsia="仿宋_GB2312"/>
          <w:sz w:val="32"/>
          <w:szCs w:val="32"/>
        </w:rPr>
        <w:t xml:space="preserve">  </w:t>
      </w:r>
      <w:r>
        <w:rPr>
          <w:rFonts w:eastAsia="仿宋_GB2312"/>
          <w:sz w:val="32"/>
          <w:szCs w:val="32"/>
        </w:rPr>
        <w:t>案管室负责</w:t>
      </w:r>
      <w:r>
        <w:rPr>
          <w:rFonts w:hint="eastAsia" w:eastAsia="仿宋_GB2312"/>
          <w:sz w:val="32"/>
          <w:szCs w:val="32"/>
        </w:rPr>
        <w:t>谈话室</w:t>
      </w:r>
      <w:r>
        <w:rPr>
          <w:rFonts w:eastAsia="仿宋_GB2312"/>
          <w:sz w:val="32"/>
          <w:szCs w:val="32"/>
        </w:rPr>
        <w:t>监控</w:t>
      </w:r>
      <w:r>
        <w:rPr>
          <w:rFonts w:hint="eastAsia" w:eastAsia="仿宋_GB2312"/>
          <w:sz w:val="32"/>
          <w:szCs w:val="32"/>
        </w:rPr>
        <w:t>设备的</w:t>
      </w:r>
      <w:r>
        <w:rPr>
          <w:rFonts w:eastAsia="仿宋_GB2312"/>
          <w:sz w:val="32"/>
          <w:szCs w:val="32"/>
        </w:rPr>
        <w:t>日常管理</w:t>
      </w:r>
      <w:r>
        <w:rPr>
          <w:rFonts w:hint="eastAsia" w:eastAsia="仿宋_GB2312"/>
          <w:sz w:val="32"/>
          <w:szCs w:val="32"/>
        </w:rPr>
        <w:t>，并妥善保管监控数据</w:t>
      </w:r>
      <w:r>
        <w:rPr>
          <w:rFonts w:eastAsia="仿宋_GB2312"/>
          <w:sz w:val="32"/>
          <w:szCs w:val="32"/>
        </w:rPr>
        <w:t>。</w:t>
      </w:r>
      <w:r>
        <w:rPr>
          <w:rFonts w:hint="eastAsia" w:eastAsia="仿宋_GB2312"/>
          <w:sz w:val="32"/>
          <w:szCs w:val="32"/>
        </w:rPr>
        <w:t>审查调查单位以外的工作人员调阅监控资料，应当经审查调查单位负责人批准</w:t>
      </w:r>
      <w:r>
        <w:rPr>
          <w:rFonts w:eastAsia="仿宋_GB2312"/>
          <w:sz w:val="32"/>
          <w:szCs w:val="32"/>
        </w:rPr>
        <w:t>。</w:t>
      </w:r>
    </w:p>
    <w:p>
      <w:pPr>
        <w:keepNext w:val="0"/>
        <w:keepLines w:val="0"/>
        <w:pageBreakBefore w:val="0"/>
        <w:kinsoku/>
        <w:wordWrap/>
        <w:overflowPunct/>
        <w:topLinePunct w:val="0"/>
        <w:autoSpaceDE/>
        <w:autoSpaceDN/>
        <w:bidi w:val="0"/>
        <w:adjustRightInd/>
        <w:spacing w:line="560" w:lineRule="exact"/>
        <w:ind w:firstLine="630"/>
        <w:textAlignment w:val="auto"/>
        <w:outlineLvl w:val="9"/>
        <w:rPr>
          <w:rFonts w:eastAsia="仿宋_GB2312"/>
          <w:sz w:val="32"/>
          <w:szCs w:val="32"/>
        </w:rPr>
      </w:pPr>
      <w:r>
        <w:rPr>
          <w:rFonts w:eastAsia="黑体"/>
          <w:sz w:val="32"/>
          <w:szCs w:val="32"/>
        </w:rPr>
        <w:t>第</w:t>
      </w:r>
      <w:r>
        <w:rPr>
          <w:rFonts w:hint="eastAsia" w:eastAsia="黑体"/>
          <w:sz w:val="32"/>
          <w:szCs w:val="32"/>
        </w:rPr>
        <w:t>九</w:t>
      </w:r>
      <w:r>
        <w:rPr>
          <w:rFonts w:eastAsia="黑体"/>
          <w:sz w:val="32"/>
          <w:szCs w:val="32"/>
        </w:rPr>
        <w:t>条</w:t>
      </w:r>
      <w:r>
        <w:rPr>
          <w:rFonts w:eastAsia="仿宋_GB2312"/>
          <w:sz w:val="32"/>
          <w:szCs w:val="32"/>
        </w:rPr>
        <w:t xml:space="preserve">  </w:t>
      </w:r>
      <w:r>
        <w:rPr>
          <w:rFonts w:hint="eastAsia" w:eastAsia="仿宋_GB2312"/>
          <w:sz w:val="32"/>
          <w:szCs w:val="32"/>
        </w:rPr>
        <w:t>办公室</w:t>
      </w:r>
      <w:r>
        <w:rPr>
          <w:rFonts w:eastAsia="仿宋_GB2312"/>
          <w:sz w:val="32"/>
          <w:szCs w:val="32"/>
        </w:rPr>
        <w:t>负责对办案工作点设施设备、常备物品的采购和管理，办案所需的低</w:t>
      </w:r>
      <w:r>
        <w:rPr>
          <w:rFonts w:hint="eastAsia" w:eastAsia="仿宋_GB2312"/>
          <w:sz w:val="32"/>
          <w:szCs w:val="32"/>
        </w:rPr>
        <w:t>值</w:t>
      </w:r>
      <w:r>
        <w:rPr>
          <w:rFonts w:eastAsia="仿宋_GB2312"/>
          <w:sz w:val="32"/>
          <w:szCs w:val="32"/>
        </w:rPr>
        <w:t>易耗品、饮食安排等由调查组自行负责。</w:t>
      </w:r>
    </w:p>
    <w:p>
      <w:pPr>
        <w:keepNext w:val="0"/>
        <w:keepLines w:val="0"/>
        <w:pageBreakBefore w:val="0"/>
        <w:kinsoku/>
        <w:wordWrap/>
        <w:overflowPunct/>
        <w:topLinePunct w:val="0"/>
        <w:autoSpaceDE/>
        <w:autoSpaceDN/>
        <w:bidi w:val="0"/>
        <w:adjustRightInd/>
        <w:spacing w:line="560" w:lineRule="exact"/>
        <w:ind w:firstLine="630"/>
        <w:textAlignment w:val="auto"/>
        <w:outlineLvl w:val="9"/>
        <w:rPr>
          <w:rFonts w:eastAsia="仿宋_GB2312"/>
          <w:sz w:val="32"/>
          <w:szCs w:val="32"/>
        </w:rPr>
      </w:pPr>
      <w:r>
        <w:rPr>
          <w:rFonts w:eastAsia="黑体"/>
          <w:sz w:val="32"/>
          <w:szCs w:val="32"/>
        </w:rPr>
        <w:t>第</w:t>
      </w:r>
      <w:r>
        <w:rPr>
          <w:rFonts w:hint="eastAsia" w:eastAsia="黑体"/>
          <w:sz w:val="32"/>
          <w:szCs w:val="32"/>
        </w:rPr>
        <w:t>十</w:t>
      </w:r>
      <w:r>
        <w:rPr>
          <w:rFonts w:eastAsia="黑体"/>
          <w:sz w:val="32"/>
          <w:szCs w:val="32"/>
        </w:rPr>
        <w:t>条</w:t>
      </w:r>
      <w:r>
        <w:rPr>
          <w:rFonts w:eastAsia="仿宋_GB2312"/>
          <w:sz w:val="32"/>
          <w:szCs w:val="32"/>
        </w:rPr>
        <w:t xml:space="preserve">  </w:t>
      </w:r>
      <w:r>
        <w:rPr>
          <w:rFonts w:hint="eastAsia" w:eastAsia="仿宋_GB2312"/>
          <w:spacing w:val="-8"/>
          <w:sz w:val="32"/>
          <w:szCs w:val="32"/>
        </w:rPr>
        <w:t>办公室</w:t>
      </w:r>
      <w:r>
        <w:rPr>
          <w:rFonts w:eastAsia="仿宋_GB2312"/>
          <w:spacing w:val="-8"/>
          <w:sz w:val="32"/>
          <w:szCs w:val="32"/>
        </w:rPr>
        <w:t>负责办案</w:t>
      </w:r>
      <w:r>
        <w:rPr>
          <w:rFonts w:hint="eastAsia" w:eastAsia="仿宋_GB2312"/>
          <w:spacing w:val="-8"/>
          <w:sz w:val="32"/>
          <w:szCs w:val="32"/>
        </w:rPr>
        <w:t>工作</w:t>
      </w:r>
      <w:r>
        <w:rPr>
          <w:rFonts w:eastAsia="仿宋_GB2312"/>
          <w:spacing w:val="-8"/>
          <w:sz w:val="32"/>
          <w:szCs w:val="32"/>
        </w:rPr>
        <w:t>点的水、电、气、电视、监控、空调、热水器等设施设备的日常保养维护</w:t>
      </w:r>
      <w:r>
        <w:rPr>
          <w:rFonts w:hint="eastAsia" w:eastAsia="仿宋_GB2312"/>
          <w:spacing w:val="-8"/>
          <w:sz w:val="32"/>
          <w:szCs w:val="32"/>
        </w:rPr>
        <w:t>和</w:t>
      </w:r>
      <w:r>
        <w:rPr>
          <w:rFonts w:eastAsia="仿宋_GB2312"/>
          <w:spacing w:val="-8"/>
          <w:sz w:val="32"/>
          <w:szCs w:val="32"/>
        </w:rPr>
        <w:t>经费保障。</w:t>
      </w:r>
    </w:p>
    <w:p>
      <w:pPr>
        <w:spacing w:line="576" w:lineRule="exact"/>
      </w:pPr>
    </w:p>
    <w:p>
      <w:pPr>
        <w:widowControl/>
        <w:spacing w:line="576" w:lineRule="exact"/>
        <w:jc w:val="left"/>
        <w:rPr>
          <w:rFonts w:hint="eastAsia" w:ascii="方正小标宋简体" w:eastAsia="方正小标宋简体"/>
          <w:sz w:val="44"/>
          <w:szCs w:val="44"/>
        </w:rPr>
      </w:pPr>
    </w:p>
    <w:p>
      <w:pPr>
        <w:widowControl/>
        <w:spacing w:line="576" w:lineRule="exact"/>
        <w:jc w:val="left"/>
        <w:rPr>
          <w:rFonts w:hint="eastAsia" w:ascii="方正小标宋简体" w:eastAsia="方正小标宋简体"/>
          <w:sz w:val="44"/>
          <w:szCs w:val="44"/>
        </w:rPr>
      </w:pPr>
    </w:p>
    <w:p>
      <w:pPr>
        <w:widowControl/>
        <w:spacing w:line="576" w:lineRule="exact"/>
        <w:jc w:val="left"/>
        <w:rPr>
          <w:rFonts w:hint="eastAsia" w:ascii="方正小标宋简体" w:eastAsia="方正小标宋简体"/>
          <w:sz w:val="44"/>
          <w:szCs w:val="44"/>
        </w:rPr>
      </w:pPr>
    </w:p>
    <w:p>
      <w:pPr>
        <w:widowControl/>
        <w:spacing w:line="576" w:lineRule="exact"/>
        <w:jc w:val="left"/>
        <w:rPr>
          <w:rFonts w:hint="eastAsia" w:ascii="方正小标宋简体" w:eastAsia="方正小标宋简体"/>
          <w:sz w:val="44"/>
          <w:szCs w:val="44"/>
        </w:rPr>
      </w:pPr>
    </w:p>
    <w:p>
      <w:pPr>
        <w:widowControl/>
        <w:jc w:val="left"/>
        <w:rPr>
          <w:rFonts w:ascii="方正小标宋简体" w:eastAsia="方正小标宋简体"/>
          <w:sz w:val="44"/>
          <w:szCs w:val="44"/>
        </w:rPr>
      </w:pPr>
      <w:r>
        <w:rPr>
          <w:rFonts w:ascii="方正小标宋简体" w:eastAsia="方正小标宋简体"/>
          <w:sz w:val="44"/>
          <w:szCs w:val="44"/>
        </w:rPr>
        <w:br w:type="page"/>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汶川县纪委监委谈话室使用审批表</w:t>
      </w:r>
    </w:p>
    <w:p>
      <w:pPr>
        <w:spacing w:line="576" w:lineRule="exact"/>
      </w:pPr>
    </w:p>
    <w:tbl>
      <w:tblPr>
        <w:tblStyle w:val="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00"/>
        <w:gridCol w:w="5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13" w:hRule="atLeast"/>
        </w:trPr>
        <w:tc>
          <w:tcPr>
            <w:tcW w:w="3200" w:type="dxa"/>
            <w:vAlign w:val="center"/>
          </w:tcPr>
          <w:p>
            <w:pPr>
              <w:spacing w:line="576" w:lineRule="exact"/>
              <w:jc w:val="center"/>
              <w:rPr>
                <w:sz w:val="32"/>
                <w:szCs w:val="32"/>
              </w:rPr>
            </w:pPr>
            <w:r>
              <w:rPr>
                <w:rFonts w:hint="eastAsia"/>
                <w:sz w:val="32"/>
                <w:szCs w:val="32"/>
              </w:rPr>
              <w:t>使用单位</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1" w:hRule="atLeast"/>
        </w:trPr>
        <w:tc>
          <w:tcPr>
            <w:tcW w:w="3200" w:type="dxa"/>
            <w:vAlign w:val="center"/>
          </w:tcPr>
          <w:p>
            <w:pPr>
              <w:spacing w:line="576" w:lineRule="exact"/>
              <w:jc w:val="center"/>
              <w:rPr>
                <w:sz w:val="32"/>
                <w:szCs w:val="32"/>
              </w:rPr>
            </w:pPr>
            <w:r>
              <w:rPr>
                <w:rFonts w:hint="eastAsia"/>
                <w:sz w:val="32"/>
                <w:szCs w:val="32"/>
              </w:rPr>
              <w:t>使用事由</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7" w:hRule="atLeast"/>
        </w:trPr>
        <w:tc>
          <w:tcPr>
            <w:tcW w:w="3200" w:type="dxa"/>
            <w:vAlign w:val="center"/>
          </w:tcPr>
          <w:p>
            <w:pPr>
              <w:spacing w:line="576" w:lineRule="exact"/>
              <w:jc w:val="center"/>
              <w:rPr>
                <w:sz w:val="32"/>
                <w:szCs w:val="32"/>
              </w:rPr>
            </w:pPr>
            <w:r>
              <w:rPr>
                <w:rFonts w:hint="eastAsia"/>
                <w:sz w:val="32"/>
                <w:szCs w:val="32"/>
              </w:rPr>
              <w:t>使用时间</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55" w:hRule="atLeast"/>
        </w:trPr>
        <w:tc>
          <w:tcPr>
            <w:tcW w:w="3200" w:type="dxa"/>
            <w:vAlign w:val="center"/>
          </w:tcPr>
          <w:p>
            <w:pPr>
              <w:spacing w:line="576" w:lineRule="exact"/>
              <w:jc w:val="center"/>
              <w:rPr>
                <w:sz w:val="32"/>
                <w:szCs w:val="32"/>
              </w:rPr>
            </w:pPr>
            <w:r>
              <w:rPr>
                <w:rFonts w:hint="eastAsia"/>
                <w:sz w:val="32"/>
                <w:szCs w:val="32"/>
              </w:rPr>
              <w:t>安全人员</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30" w:hRule="atLeast"/>
        </w:trPr>
        <w:tc>
          <w:tcPr>
            <w:tcW w:w="3200" w:type="dxa"/>
            <w:vAlign w:val="center"/>
          </w:tcPr>
          <w:p>
            <w:pPr>
              <w:spacing w:line="576" w:lineRule="exact"/>
              <w:jc w:val="center"/>
              <w:rPr>
                <w:sz w:val="32"/>
                <w:szCs w:val="32"/>
              </w:rPr>
            </w:pPr>
            <w:r>
              <w:rPr>
                <w:rFonts w:hint="eastAsia"/>
                <w:sz w:val="32"/>
                <w:szCs w:val="32"/>
              </w:rPr>
              <w:t>分管常委（委员）</w:t>
            </w:r>
          </w:p>
          <w:p>
            <w:pPr>
              <w:spacing w:line="576" w:lineRule="exact"/>
              <w:jc w:val="center"/>
              <w:rPr>
                <w:sz w:val="32"/>
                <w:szCs w:val="32"/>
              </w:rPr>
            </w:pPr>
            <w:r>
              <w:rPr>
                <w:rFonts w:hint="eastAsia"/>
                <w:sz w:val="32"/>
                <w:szCs w:val="32"/>
              </w:rPr>
              <w:t>审批意见</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28" w:hRule="atLeast"/>
        </w:trPr>
        <w:tc>
          <w:tcPr>
            <w:tcW w:w="3200" w:type="dxa"/>
            <w:vAlign w:val="center"/>
          </w:tcPr>
          <w:p>
            <w:pPr>
              <w:spacing w:line="576" w:lineRule="exact"/>
              <w:jc w:val="center"/>
              <w:rPr>
                <w:sz w:val="32"/>
                <w:szCs w:val="32"/>
              </w:rPr>
            </w:pPr>
            <w:r>
              <w:rPr>
                <w:rFonts w:hint="eastAsia"/>
                <w:sz w:val="32"/>
                <w:szCs w:val="32"/>
              </w:rPr>
              <w:t>联系副书记（副主任）审批意见</w:t>
            </w:r>
          </w:p>
        </w:tc>
        <w:tc>
          <w:tcPr>
            <w:tcW w:w="5322" w:type="dxa"/>
          </w:tcPr>
          <w:p>
            <w:pPr>
              <w:spacing w:line="576" w:lineRule="exact"/>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18" w:hRule="atLeast"/>
        </w:trPr>
        <w:tc>
          <w:tcPr>
            <w:tcW w:w="3200" w:type="dxa"/>
            <w:vAlign w:val="center"/>
          </w:tcPr>
          <w:p>
            <w:pPr>
              <w:spacing w:line="576" w:lineRule="exact"/>
              <w:jc w:val="center"/>
              <w:rPr>
                <w:sz w:val="32"/>
                <w:szCs w:val="32"/>
              </w:rPr>
            </w:pPr>
            <w:r>
              <w:rPr>
                <w:rFonts w:hint="eastAsia"/>
                <w:sz w:val="32"/>
                <w:szCs w:val="32"/>
              </w:rPr>
              <w:t>案管室承办情况</w:t>
            </w:r>
          </w:p>
        </w:tc>
        <w:tc>
          <w:tcPr>
            <w:tcW w:w="5322" w:type="dxa"/>
          </w:tcPr>
          <w:p>
            <w:pPr>
              <w:spacing w:line="576" w:lineRule="exact"/>
              <w:jc w:val="center"/>
              <w:rPr>
                <w:sz w:val="32"/>
                <w:szCs w:val="32"/>
              </w:rPr>
            </w:pPr>
          </w:p>
        </w:tc>
      </w:tr>
    </w:tbl>
    <w:p>
      <w:pPr>
        <w:spacing w:line="576" w:lineRule="exact"/>
        <w:jc w:val="left"/>
      </w:pPr>
      <w:r>
        <w:rPr>
          <w:rFonts w:hint="eastAsia"/>
        </w:rPr>
        <w:t>填表人：                填表时间：                    联系电话：</w:t>
      </w:r>
    </w:p>
    <w:p>
      <w:pPr>
        <w:spacing w:line="300" w:lineRule="exact"/>
        <w:jc w:val="left"/>
        <w:rPr>
          <w:rFonts w:hint="eastAsia"/>
        </w:rPr>
      </w:pPr>
    </w:p>
    <w:p>
      <w:pPr>
        <w:spacing w:line="300" w:lineRule="exact"/>
        <w:jc w:val="left"/>
      </w:pPr>
      <w:r>
        <w:rPr>
          <w:rFonts w:hint="eastAsia"/>
        </w:rPr>
        <w:t>注：1.谈话室遵循谁使用、谁管理、谁负责的原则。谈话期间，使用单位对谈话室安全管理工作负总责。</w:t>
      </w:r>
    </w:p>
    <w:p>
      <w:pPr>
        <w:spacing w:line="300" w:lineRule="exact"/>
        <w:jc w:val="left"/>
      </w:pPr>
      <w:r>
        <w:rPr>
          <w:rFonts w:hint="eastAsia"/>
        </w:rPr>
        <w:t xml:space="preserve">    2.使用谈话室要认真阅读《中共汶川县纪委 汶川县监察委谈话室使用管理办法》并严格执行相关规定。</w:t>
      </w:r>
    </w:p>
    <w:p>
      <w:pPr>
        <w:spacing w:line="300" w:lineRule="exact"/>
        <w:jc w:val="left"/>
      </w:pPr>
      <w:r>
        <w:rPr>
          <w:rFonts w:hint="eastAsia"/>
        </w:rPr>
        <w:t xml:space="preserve">    3.乡镇纪委、部门纪检组（纪委）使用谈话室的，由县纪委监委相关联系室按程序办理。</w:t>
      </w:r>
    </w:p>
    <w:p>
      <w:pPr>
        <w:spacing w:line="300" w:lineRule="exact"/>
        <w:jc w:val="left"/>
      </w:pPr>
      <w:r>
        <w:rPr>
          <w:rFonts w:hint="eastAsia"/>
        </w:rPr>
        <w:t xml:space="preserve">    4.省、州相关部门使用谈话室的，由委联系人按程序办理。</w:t>
      </w:r>
    </w:p>
    <w:p>
      <w:pPr>
        <w:spacing w:line="576" w:lineRule="exact"/>
        <w:ind w:firstLine="640"/>
        <w:jc w:val="left"/>
        <w:rPr>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bookmarkStart w:id="0" w:name="_GoBack"/>
      <w:bookmarkEnd w:id="0"/>
    </w:p>
    <w:p>
      <w:pPr>
        <w:keepNext w:val="0"/>
        <w:keepLines w:val="0"/>
        <w:pageBreakBefore w:val="0"/>
        <w:widowControl/>
        <w:kinsoku/>
        <w:wordWrap/>
        <w:overflowPunct/>
        <w:topLinePunct w:val="0"/>
        <w:autoSpaceDE/>
        <w:autoSpaceDN/>
        <w:bidi w:val="0"/>
        <w:adjustRightInd/>
        <w:snapToGrid/>
        <w:spacing w:line="550" w:lineRule="exact"/>
        <w:jc w:val="left"/>
        <w:textAlignment w:val="auto"/>
        <w:rPr>
          <w:rFonts w:ascii="仿宋_GB2312" w:hAnsi="仿宋_GB2312" w:eastAsia="仿宋_GB2312" w:cs="仿宋_GB2312"/>
          <w:sz w:val="32"/>
          <w:szCs w:val="32"/>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540" w:lineRule="exact"/>
        <w:ind w:firstLine="280" w:firstLineChars="100"/>
        <w:jc w:val="left"/>
        <w:textAlignment w:val="auto"/>
        <w:rPr>
          <w:rFonts w:hint="eastAsia" w:ascii="仿宋_GB2312" w:eastAsia="仿宋_GB2312"/>
          <w:sz w:val="28"/>
          <w:szCs w:val="28"/>
          <w:lang w:val="en-US" w:eastAsia="zh-CN"/>
        </w:rPr>
      </w:pPr>
      <w:r>
        <w:rPr>
          <w:rFonts w:hint="eastAsia" w:ascii="仿宋_GB2312" w:eastAsia="仿宋_GB2312"/>
          <w:sz w:val="28"/>
          <w:szCs w:val="28"/>
        </w:rPr>
        <w:t xml:space="preserve">中共汶川县纪委办公室                    </w:t>
      </w:r>
      <w:r>
        <w:rPr>
          <w:rFonts w:hint="eastAsia" w:ascii="仿宋_GB2312" w:eastAsia="仿宋_GB2312" w:cs="方正小标宋简体"/>
          <w:sz w:val="28"/>
          <w:szCs w:val="28"/>
        </w:rPr>
        <w:t>201</w:t>
      </w:r>
      <w:r>
        <w:rPr>
          <w:rFonts w:hint="eastAsia" w:ascii="仿宋_GB2312" w:eastAsia="仿宋_GB2312" w:cs="方正小标宋简体"/>
          <w:sz w:val="28"/>
          <w:szCs w:val="28"/>
          <w:lang w:val="en-US" w:eastAsia="zh-CN"/>
        </w:rPr>
        <w:t>9</w:t>
      </w:r>
      <w:r>
        <w:rPr>
          <w:rFonts w:hint="eastAsia" w:ascii="仿宋_GB2312" w:eastAsia="仿宋_GB2312" w:cs="方正小标宋简体"/>
          <w:sz w:val="28"/>
          <w:szCs w:val="28"/>
        </w:rPr>
        <w:t>年</w:t>
      </w:r>
      <w:r>
        <w:rPr>
          <w:rFonts w:hint="eastAsia" w:ascii="仿宋_GB2312" w:eastAsia="仿宋_GB2312" w:cs="方正小标宋简体"/>
          <w:sz w:val="28"/>
          <w:szCs w:val="28"/>
          <w:lang w:val="en-US" w:eastAsia="zh-CN"/>
        </w:rPr>
        <w:t>10</w:t>
      </w:r>
      <w:r>
        <w:rPr>
          <w:rFonts w:hint="eastAsia" w:ascii="仿宋_GB2312" w:eastAsia="仿宋_GB2312" w:cs="方正小标宋简体"/>
          <w:sz w:val="28"/>
          <w:szCs w:val="28"/>
        </w:rPr>
        <w:t>月</w:t>
      </w:r>
      <w:r>
        <w:rPr>
          <w:rFonts w:hint="eastAsia" w:ascii="仿宋_GB2312" w:eastAsia="仿宋_GB2312" w:cs="方正小标宋简体"/>
          <w:sz w:val="28"/>
          <w:szCs w:val="28"/>
          <w:lang w:val="en-US" w:eastAsia="zh-CN"/>
        </w:rPr>
        <w:t>16</w:t>
      </w:r>
      <w:r>
        <w:rPr>
          <w:rFonts w:hint="eastAsia" w:ascii="仿宋_GB2312" w:eastAsia="仿宋_GB2312" w:cs="方正小标宋简体"/>
          <w:sz w:val="28"/>
          <w:szCs w:val="28"/>
        </w:rPr>
        <w:t>日</w:t>
      </w:r>
      <w:r>
        <w:rPr>
          <w:rFonts w:hint="eastAsia" w:ascii="仿宋_GB2312" w:eastAsia="仿宋_GB2312"/>
          <w:sz w:val="32"/>
          <w:szCs w:val="32"/>
        </w:rPr>
        <w:t>印</w:t>
      </w:r>
      <w:r>
        <w:rPr>
          <w:rFonts w:hint="eastAsia" w:ascii="仿宋_GB2312" w:eastAsia="仿宋_GB2312"/>
          <w:sz w:val="32"/>
          <w:szCs w:val="32"/>
          <w:lang w:eastAsia="zh-CN"/>
        </w:rPr>
        <w:t>发</w:t>
      </w:r>
      <w:r>
        <w:rPr>
          <w:rFonts w:hint="eastAsia" w:ascii="仿宋_GB2312" w:eastAsia="仿宋_GB2312"/>
          <w:sz w:val="32"/>
          <w:szCs w:val="32"/>
          <w:lang w:val="en-US" w:eastAsia="zh-CN"/>
        </w:rPr>
        <w:t xml:space="preserve"> </w:t>
      </w:r>
    </w:p>
    <w:sectPr>
      <w:headerReference r:id="rId3" w:type="default"/>
      <w:footerReference r:id="rId4" w:type="default"/>
      <w:footerReference r:id="rId5" w:type="even"/>
      <w:pgSz w:w="11906" w:h="16838"/>
      <w:pgMar w:top="2155" w:right="1474" w:bottom="1814" w:left="1474" w:header="851"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宋体" w:hAnsi="宋体"/>
        <w:sz w:val="28"/>
        <w:szCs w:val="28"/>
      </w:rPr>
    </w:pP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- 1 -</w:t>
    </w:r>
    <w:r>
      <w:rPr>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separate"/>
    </w:r>
    <w:r>
      <w:rPr>
        <w:rStyle w:val="8"/>
      </w:rPr>
      <w:t>- 1 -</w: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2A"/>
    <w:rsid w:val="000551E1"/>
    <w:rsid w:val="000D039B"/>
    <w:rsid w:val="000D1C81"/>
    <w:rsid w:val="000D4D64"/>
    <w:rsid w:val="000D4F48"/>
    <w:rsid w:val="00103619"/>
    <w:rsid w:val="00172A27"/>
    <w:rsid w:val="00172A45"/>
    <w:rsid w:val="001B13C8"/>
    <w:rsid w:val="001B5693"/>
    <w:rsid w:val="001C3850"/>
    <w:rsid w:val="002008B2"/>
    <w:rsid w:val="0021150D"/>
    <w:rsid w:val="00212569"/>
    <w:rsid w:val="0022630D"/>
    <w:rsid w:val="00226C19"/>
    <w:rsid w:val="002B062B"/>
    <w:rsid w:val="002F42F7"/>
    <w:rsid w:val="00300804"/>
    <w:rsid w:val="00330912"/>
    <w:rsid w:val="00344129"/>
    <w:rsid w:val="0039751D"/>
    <w:rsid w:val="003A15A1"/>
    <w:rsid w:val="003A3A95"/>
    <w:rsid w:val="003F3461"/>
    <w:rsid w:val="00415520"/>
    <w:rsid w:val="004630A1"/>
    <w:rsid w:val="00496CBF"/>
    <w:rsid w:val="004D618E"/>
    <w:rsid w:val="00545D7D"/>
    <w:rsid w:val="00555E80"/>
    <w:rsid w:val="00580932"/>
    <w:rsid w:val="005B28D2"/>
    <w:rsid w:val="00603657"/>
    <w:rsid w:val="006536A0"/>
    <w:rsid w:val="006F5729"/>
    <w:rsid w:val="00751247"/>
    <w:rsid w:val="007B2007"/>
    <w:rsid w:val="007F71D8"/>
    <w:rsid w:val="00802161"/>
    <w:rsid w:val="008537F1"/>
    <w:rsid w:val="008C3462"/>
    <w:rsid w:val="008D566B"/>
    <w:rsid w:val="009769C1"/>
    <w:rsid w:val="009D1E92"/>
    <w:rsid w:val="00A05C6D"/>
    <w:rsid w:val="00A16D61"/>
    <w:rsid w:val="00A50E80"/>
    <w:rsid w:val="00A6732B"/>
    <w:rsid w:val="00A700AA"/>
    <w:rsid w:val="00AF2E80"/>
    <w:rsid w:val="00B23CEB"/>
    <w:rsid w:val="00B33505"/>
    <w:rsid w:val="00B707D3"/>
    <w:rsid w:val="00B959CB"/>
    <w:rsid w:val="00BA0ED6"/>
    <w:rsid w:val="00BA5B20"/>
    <w:rsid w:val="00BF5E60"/>
    <w:rsid w:val="00C06E6B"/>
    <w:rsid w:val="00C22449"/>
    <w:rsid w:val="00CA391C"/>
    <w:rsid w:val="00CA5016"/>
    <w:rsid w:val="00D208B2"/>
    <w:rsid w:val="00D45571"/>
    <w:rsid w:val="00D610BD"/>
    <w:rsid w:val="00E70E32"/>
    <w:rsid w:val="00EA1CCD"/>
    <w:rsid w:val="00EC7B59"/>
    <w:rsid w:val="00EE3B84"/>
    <w:rsid w:val="00EE531A"/>
    <w:rsid w:val="00F34772"/>
    <w:rsid w:val="00FE5186"/>
    <w:rsid w:val="01404B6F"/>
    <w:rsid w:val="034D0739"/>
    <w:rsid w:val="04AD1033"/>
    <w:rsid w:val="04EB05E4"/>
    <w:rsid w:val="079B3DBA"/>
    <w:rsid w:val="0E8A44D1"/>
    <w:rsid w:val="0EC12A58"/>
    <w:rsid w:val="0F6F6A5C"/>
    <w:rsid w:val="10C57BCE"/>
    <w:rsid w:val="11C06293"/>
    <w:rsid w:val="11F30B43"/>
    <w:rsid w:val="16DD78D8"/>
    <w:rsid w:val="17A6584B"/>
    <w:rsid w:val="2060183C"/>
    <w:rsid w:val="20CE50A5"/>
    <w:rsid w:val="21707E7A"/>
    <w:rsid w:val="218E28DE"/>
    <w:rsid w:val="268C7D7E"/>
    <w:rsid w:val="280D26F2"/>
    <w:rsid w:val="2A157CBA"/>
    <w:rsid w:val="2DD97320"/>
    <w:rsid w:val="2E4F71FF"/>
    <w:rsid w:val="321F2E27"/>
    <w:rsid w:val="33FD5BCB"/>
    <w:rsid w:val="3E7476CB"/>
    <w:rsid w:val="40134026"/>
    <w:rsid w:val="43137461"/>
    <w:rsid w:val="466D4B75"/>
    <w:rsid w:val="49E23664"/>
    <w:rsid w:val="4CBF0433"/>
    <w:rsid w:val="4CD60A38"/>
    <w:rsid w:val="4EF514AD"/>
    <w:rsid w:val="51BA7510"/>
    <w:rsid w:val="533268AE"/>
    <w:rsid w:val="565925E7"/>
    <w:rsid w:val="58DD0346"/>
    <w:rsid w:val="58F43860"/>
    <w:rsid w:val="61053572"/>
    <w:rsid w:val="625C2D58"/>
    <w:rsid w:val="66DC3854"/>
    <w:rsid w:val="67CE20C5"/>
    <w:rsid w:val="69231C86"/>
    <w:rsid w:val="6E786F27"/>
    <w:rsid w:val="748638E9"/>
    <w:rsid w:val="75BB735A"/>
    <w:rsid w:val="7948642A"/>
    <w:rsid w:val="7C8665CB"/>
    <w:rsid w:val="7D282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3"/>
    <w:qFormat/>
    <w:uiPriority w:val="0"/>
    <w:pPr>
      <w:spacing w:before="100" w:beforeAutospacing="1" w:after="100" w:afterAutospacing="1"/>
      <w:jc w:val="left"/>
      <w:outlineLvl w:val="2"/>
    </w:pPr>
    <w:rPr>
      <w:rFonts w:ascii="宋体" w:hAnsi="宋体" w:cs="宋体"/>
      <w:b/>
      <w:kern w:val="0"/>
      <w:sz w:val="27"/>
      <w:szCs w:val="27"/>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Char Char Char1 Char Char Char Char Char Char Char Char Char Char Char Char Char Char Char Char Char Char Char Char Char Char"/>
    <w:basedOn w:val="1"/>
    <w:qFormat/>
    <w:uiPriority w:val="0"/>
    <w:pPr>
      <w:widowControl/>
      <w:spacing w:line="365" w:lineRule="atLeast"/>
      <w:ind w:left="1"/>
      <w:jc w:val="left"/>
      <w:textAlignment w:val="bottom"/>
    </w:pPr>
    <w:rPr>
      <w:kern w:val="0"/>
      <w:sz w:val="20"/>
      <w:szCs w:val="20"/>
    </w:rPr>
  </w:style>
  <w:style w:type="paragraph" w:customStyle="1" w:styleId="12">
    <w:name w:val="Char Char Char Char"/>
    <w:basedOn w:val="1"/>
    <w:qFormat/>
    <w:uiPriority w:val="0"/>
    <w:rPr>
      <w:szCs w:val="20"/>
    </w:rPr>
  </w:style>
  <w:style w:type="character" w:customStyle="1" w:styleId="13">
    <w:name w:val="标题 3 Char"/>
    <w:basedOn w:val="7"/>
    <w:link w:val="2"/>
    <w:qFormat/>
    <w:uiPriority w:val="0"/>
    <w:rPr>
      <w:rFonts w:ascii="宋体" w:hAnsi="宋体" w:eastAsia="宋体" w:cs="宋体"/>
      <w:b/>
      <w:sz w:val="27"/>
      <w:szCs w:val="27"/>
      <w:lang w:val="en-US" w:eastAsia="zh-CN" w:bidi="ar-SA"/>
    </w:rPr>
  </w:style>
  <w:style w:type="paragraph" w:styleId="14">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318</Words>
  <Characters>1816</Characters>
  <Lines>15</Lines>
  <Paragraphs>4</Paragraphs>
  <TotalTime>1</TotalTime>
  <ScaleCrop>false</ScaleCrop>
  <LinksUpToDate>false</LinksUpToDate>
  <CharactersWithSpaces>2130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2019-08-12T09:25:00Z</dcterms:created>
  <dc:creator>微软用户</dc:creator>
  <cp:lastModifiedBy>Administrator</cp:lastModifiedBy>
  <cp:lastPrinted>2019-09-27T08:53:00Z</cp:lastPrinted>
  <dcterms:modified xsi:type="dcterms:W3CDTF">2019-10-16T03:06:44Z</dcterms:modified>
  <dc:title>附件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