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方正小标宋简体" w:hAnsi="宋体" w:eastAsia="方正小标宋简体"/>
          <w:color w:val="000000"/>
          <w:sz w:val="72"/>
          <w:szCs w:val="72"/>
          <w:lang w:val="en-US" w:eastAsia="zh-CN"/>
        </w:rPr>
      </w:pPr>
      <w:bookmarkStart w:id="0" w:name="_Toc15306267"/>
      <w:r>
        <w:rPr>
          <w:rFonts w:hint="eastAsia" w:ascii="方正小标宋简体" w:hAnsi="宋体" w:eastAsia="方正小标宋简体"/>
          <w:color w:val="000000"/>
          <w:sz w:val="72"/>
          <w:szCs w:val="72"/>
          <w:lang w:val="en-US" w:eastAsia="zh-CN"/>
        </w:rPr>
        <w:t xml:space="preserve">        </w:t>
      </w: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475"/>
      <w:bookmarkStart w:id="3" w:name="_Toc15396597"/>
      <w:bookmarkStart w:id="4" w:name="_Toc15377425"/>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8442"/>
      <w:bookmarkStart w:id="8" w:name="_Toc15377194"/>
      <w:bookmarkStart w:id="9" w:name="_Toc15396476"/>
      <w:bookmarkStart w:id="10" w:name="_Toc1537742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1" w:name="_Toc15306268"/>
      <w:r>
        <w:rPr>
          <w:rFonts w:hint="eastAsia" w:ascii="方正小标宋简体" w:hAnsi="宋体" w:eastAsia="方正小标宋简体"/>
          <w:color w:val="000000"/>
          <w:sz w:val="72"/>
          <w:szCs w:val="72"/>
          <w:lang w:eastAsia="zh-CN"/>
        </w:rPr>
        <w:t>纪委</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2"/>
      </w:pPr>
      <w:r>
        <w:rPr>
          <w:rFonts w:hint="eastAsia"/>
        </w:rPr>
        <w:t>公开时间：2020年9月</w:t>
      </w:r>
      <w:r>
        <w:t>2</w:t>
      </w:r>
      <w:r>
        <w:rPr>
          <w:rFonts w:hint="eastAsia"/>
          <w:lang w:val="en-US" w:eastAsia="zh-CN"/>
        </w:rPr>
        <w:t>9</w:t>
      </w:r>
      <w:r>
        <w:rPr>
          <w:rFonts w:hint="eastAsia"/>
        </w:rPr>
        <w:t>日</w:t>
      </w:r>
    </w:p>
    <w:p/>
    <w:p>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3"/>
        <w:adjustRightInd w:val="0"/>
        <w:snapToGrid w:val="0"/>
        <w:spacing w:line="440" w:lineRule="exact"/>
        <w:jc w:val="left"/>
        <w:rPr>
          <w:rFonts w:ascii="仿宋" w:hAnsi="仿宋" w:eastAsia="仿宋"/>
          <w:sz w:val="24"/>
        </w:rPr>
      </w:pPr>
      <w:r>
        <w:rPr>
          <w:rFonts w:hint="eastAsia"/>
          <w:sz w:val="24"/>
        </w:rPr>
        <w:t>一、基本职能及主要工作</w:t>
      </w:r>
    </w:p>
    <w:p>
      <w:pPr>
        <w:pStyle w:val="13"/>
        <w:adjustRightInd w:val="0"/>
        <w:snapToGrid w:val="0"/>
        <w:spacing w:line="440" w:lineRule="exact"/>
        <w:jc w:val="left"/>
        <w:rPr>
          <w:rFonts w:ascii="仿宋" w:hAnsi="仿宋" w:eastAsia="仿宋" w:cstheme="minorBidi"/>
          <w:sz w:val="24"/>
        </w:rPr>
      </w:pPr>
      <w:r>
        <w:rPr>
          <w:rFonts w:hint="eastAsia"/>
          <w:sz w:val="24"/>
        </w:rPr>
        <w:t>二、机构设置</w:t>
      </w:r>
    </w:p>
    <w:p>
      <w:pPr>
        <w:pStyle w:val="12"/>
        <w:adjustRightInd w:val="0"/>
        <w:snapToGrid w:val="0"/>
        <w:spacing w:before="0" w:line="440" w:lineRule="exact"/>
        <w:jc w:val="left"/>
        <w:rPr>
          <w:sz w:val="24"/>
          <w:szCs w:val="24"/>
        </w:rPr>
      </w:pPr>
      <w:r>
        <w:rPr>
          <w:rFonts w:hint="eastAsia"/>
          <w:sz w:val="24"/>
        </w:rPr>
        <w:t>第二部分度部门决算情况说明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3"/>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pPr>
        <w:adjustRightInd w:val="0"/>
        <w:snapToGrid w:val="0"/>
        <w:spacing w:line="440" w:lineRule="exact"/>
        <w:ind w:firstLine="480" w:firstLineChars="200"/>
        <w:jc w:val="left"/>
        <w:rPr>
          <w:rFonts w:ascii="仿宋" w:hAnsi="仿宋" w:eastAsia="仿宋" w:cstheme="minorBidi"/>
          <w:sz w:val="24"/>
        </w:rPr>
      </w:pPr>
      <w:r>
        <w:rPr>
          <w:rStyle w:val="17"/>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p>
    <w:p>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3"/>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pPr>
        <w:pStyle w:val="13"/>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pStyle w:val="4"/>
        <w:jc w:val="center"/>
        <w:rPr>
          <w:rStyle w:val="26"/>
          <w:rFonts w:ascii="黑体" w:hAnsi="黑体" w:eastAsia="黑体"/>
          <w:b/>
          <w:bCs w:val="0"/>
        </w:rPr>
      </w:pPr>
      <w:bookmarkStart w:id="12" w:name="_Toc15377196"/>
      <w:bookmarkStart w:id="13" w:name="_Toc15396599"/>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基本职能：红原县纪委是由中国共产党红原县代表大会选举产生；红原县监委是由红原县人民代表大会选举产生。县纪委与县监委合署办公，实行一套工作机构、两个机关名称，履行党的纪律检查和国家监察两项职责，在中共红原县委和州纪委监委双重领导下开展工作。其主要职责：（一）负责全县党的纪律检查工作。贯彻党的章程和其他党内法规，检查党的路线方针政策和决议的执行情况，协助县委推进全面从严治党、加强党风廉政建设和组织协调反腐败工作。（二）依照党的章程和其他党内法规履行监督、执纪、问责职责。负责经常对党员进行遵纪守法副教育，作出关于维护党纪的决定。对县委工作部门。县委批准设立的党组织（党委）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三)负责全县监察工作。贯彻落实党中央、省委、州委县委关于监察工作的决定，维护宪法法律，依法对县委管理的行使公权力的公职人员进行监察，调查职务违法和职务犯罪，开展廉政建设和反腐败工作。（四)依照法律规定履行监督、调查、处置职责。推动开展廉政教育，对县委管理的行使公权力的公职人员依法履职、秉公用权、亷洁从政从业以及道德操守情况进行监督检查。对涉嫌贪污贿赂、滥用职权、玩忽职守、杈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五)负责组织协调全面从严治党、党风廉政建设和反腐败宣传教育工作。(六)负责综合分析全面从严治党、党风廉政建设和反腐败工作情况，对纪检监察工作重要理论及实践问题进行调查研究参与起草我县规范性文件。(七)在州纪委监委的领导下，加强对反腐败国际追逃追赃和防逃工作的组织协调，督促有关部门做好相关工作。(八)根据干部管理权限，负责纪检监察系统领导班子建设干部队伍建设和组织建设的综合规划、政策研究、制度建设和业务指导。会同有关方面做好县纪委监委派驻机构、乡镇纪委监察室领导班子建设有关工作。组织和指导纪检监察系统干部教育培训工作等(九)完成县委和州纪委监委交办的其他任务</w:t>
      </w:r>
      <w:r>
        <w:rPr>
          <w:rFonts w:hint="eastAsia" w:ascii="仿宋_GB2312" w:eastAsia="仿宋_GB2312"/>
          <w:sz w:val="32"/>
          <w:szCs w:val="32"/>
          <w:lang w:eastAsia="zh-CN"/>
        </w:rPr>
        <w:t>。</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spacing w:line="576" w:lineRule="exact"/>
        <w:ind w:firstLine="640" w:firstLineChars="200"/>
        <w:rPr>
          <w:rFonts w:hint="eastAsia" w:ascii="仿宋_GB2312" w:hAnsi="Calibri" w:eastAsia="仿宋_GB2312"/>
          <w:sz w:val="32"/>
          <w:szCs w:val="32"/>
        </w:rPr>
      </w:pPr>
      <w:r>
        <w:rPr>
          <w:rFonts w:hint="eastAsia" w:ascii="仿宋_GB2312" w:eastAsia="仿宋_GB2312"/>
          <w:sz w:val="32"/>
          <w:szCs w:val="32"/>
        </w:rPr>
        <w:t>2019年，县</w:t>
      </w:r>
      <w:r>
        <w:rPr>
          <w:rFonts w:hint="eastAsia" w:ascii="仿宋_GB2312" w:eastAsia="仿宋_GB2312"/>
          <w:sz w:val="32"/>
          <w:szCs w:val="32"/>
          <w:lang w:eastAsia="zh-CN"/>
        </w:rPr>
        <w:t>纪</w:t>
      </w:r>
      <w:r>
        <w:rPr>
          <w:rFonts w:hint="eastAsia" w:ascii="仿宋_GB2312" w:eastAsia="仿宋_GB2312"/>
          <w:sz w:val="32"/>
          <w:szCs w:val="32"/>
        </w:rPr>
        <w:t>委认真贯彻落实党中央全面从严治党决策部署，切实履行管党治党政治责任，持续用力正风肃纪，坚决有力惩治腐败，全县风清气正的良好政治生态不断巩固。全县纪检监察机关在州纪委监委和县委的坚强领导下，切实增强“四个意识”，坚定“四个自信”，做到“两个维护”，主动担当作为，忠诚履职尽责，为红原“三地两心一时代”建设提供了坚强的纪律作风保障。2019年，我县党风廉政建设社会评价全省排名第22位，较上年上升8位，全州排名第3位。党风廉政建设全州综合排名第3位，较上年上升4位。</w:t>
      </w:r>
    </w:p>
    <w:p>
      <w:pPr>
        <w:spacing w:line="576" w:lineRule="exact"/>
        <w:rPr>
          <w:rFonts w:hint="eastAsia" w:ascii="仿宋_GB2312" w:eastAsia="仿宋_GB2312"/>
          <w:b/>
          <w:bCs/>
          <w:sz w:val="32"/>
          <w:szCs w:val="32"/>
        </w:rPr>
      </w:pPr>
      <w:r>
        <w:rPr>
          <w:rFonts w:hint="eastAsia" w:ascii="楷体_GB2312" w:eastAsia="楷体_GB2312"/>
          <w:b/>
          <w:bCs/>
          <w:sz w:val="32"/>
          <w:szCs w:val="32"/>
        </w:rPr>
        <w:t xml:space="preserve">   (一)提高政治站位，维护核心权威坚决有力</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在带头学习贯彻习近平新时代中国特色社会主义思想、党的十九大、十九届三中四中全会精神和习近平总书记对四川工作系列重要指示精神的同时，常态化推进政治监督，将其学习贯彻情况作为纪委日常监督、巡察监督重要内容，督促党员干部学深悟透、融会贯通，自觉把“四个意识”、“两个维护”转化成听党指挥、为党尽责的实际行动。纪检监察干部参与部门、乡镇学习会议80余场次，抽查督查5次，发现问题7个，督促整改7个。认真履行“不忘初心、牢记使命”主题教育专项整治督查组职责，开展督查12轮，发现问题71个，督促整改71个，确保全县主题教育“8+7+7+10+1”专项整治见实效。开展县域政治生态建设调研1次，“两面人”“两面派”相关问题调研1次，形成调研报告2份。加强与统战、公安等部门信息沟通，开展寺庙依法管理情况督查12次，策应格尔登寺集中整治。受理党员违规出国（境）问题线索8件，立案8件，党纪处分8人。</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（二）细化责任清单，“两个责任”传导层层加压</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制定《2019年红原县全面从严治党、党风廉政建设和反腐败工作意见》，明确“坚定践行‘两个维护’”等6方面31项重点任务和责任领导；签订党风廉政建设主体责任书 63 份、监督责任书16份，梳理县委、县人民政府领导班子成员个人党风廉政建设主体责任清单28份，督促指导各乡镇、县级各部门梳理党风廉政建设主体责任清单85份，压实压紧“两个责任”。一年来，县委常委会议、县政府常务会议研究党风廉政工作8次，领导批示32次，县委主要领导关心案件查办30余次。查处党员领导干部落实党风廉政建设“两个责任”不力问题1个，党纪政务处分5人。</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（三）抓实廉政教育，织密拒腐防变思想“防护网”</w:t>
      </w:r>
    </w:p>
    <w:p>
      <w:pPr>
        <w:spacing w:line="576"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领导干部坚持以上率下，带头学纪学法、遵纪守法。县委常委会议、县政府常务会议、县委理论学习中心组专题学纪学法</w:t>
      </w:r>
      <w:r>
        <w:rPr>
          <w:rFonts w:hint="eastAsia" w:ascii="仿宋_GB2312" w:eastAsia="仿宋_GB2312"/>
          <w:sz w:val="32"/>
          <w:szCs w:val="32"/>
        </w:rPr>
        <w:t>16次，县级领导干部讲廉政党课12次，各类重要会议会前观看《蒙尘的初心》等警示教育片7次；开展</w:t>
      </w:r>
      <w:r>
        <w:rPr>
          <w:rFonts w:hint="eastAsia" w:ascii="仿宋_GB2312" w:eastAsia="仿宋_GB2312"/>
          <w:color w:val="000000"/>
          <w:sz w:val="32"/>
          <w:szCs w:val="32"/>
        </w:rPr>
        <w:t>蒲波、彭宇行等</w:t>
      </w:r>
      <w:r>
        <w:rPr>
          <w:rFonts w:hint="eastAsia" w:ascii="仿宋_GB2312" w:eastAsia="仿宋_GB2312"/>
          <w:sz w:val="32"/>
          <w:szCs w:val="32"/>
        </w:rPr>
        <w:t>违纪违法案“以案促改”专题教育</w:t>
      </w:r>
      <w:r>
        <w:rPr>
          <w:rFonts w:hint="eastAsia" w:ascii="仿宋_GB2312" w:eastAsia="仿宋_GB2312"/>
          <w:color w:val="000000"/>
          <w:sz w:val="32"/>
          <w:szCs w:val="32"/>
        </w:rPr>
        <w:t>3次</w:t>
      </w:r>
      <w:r>
        <w:rPr>
          <w:rFonts w:hint="eastAsia" w:ascii="仿宋_GB2312" w:eastAsia="仿宋_GB2312"/>
          <w:sz w:val="32"/>
          <w:szCs w:val="32"/>
        </w:rPr>
        <w:t>，组织党员干部到汶川映秀廉洁文化教育基地接受廉政教育60余人次，县委书记专题辅导报告1次，纪委书记“大宣讲”活动</w:t>
      </w:r>
      <w:r>
        <w:rPr>
          <w:rFonts w:hint="eastAsia" w:ascii="仿宋_GB2312" w:eastAsia="仿宋_GB2312"/>
          <w:color w:val="000000"/>
          <w:sz w:val="32"/>
          <w:szCs w:val="32"/>
        </w:rPr>
        <w:t>3次，累计受教育干部3000余人次。发放廉政读本200余册、警示教育片200余碟，实现了警示教育全覆盖，廉洁从政、拒腐防变意识进一步增强。通报曝光巡察督查发现的共性问题28个，典型案例20件39人，努力实现通报一事规范一域、通报一人震慑一片的教育效果。</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（四）坚持挺纪在前，监督首责落实精准到位</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sz w:val="32"/>
          <w:szCs w:val="32"/>
        </w:rPr>
        <w:t>扎实开展扫黑除恶治乱专项整治，形式主义、官僚主义专项整治，发现涉黑涉恶腐败和“保护伞”问题3个，立案3件，处分3人（开除党籍1人、取消预备党员资格1人、通报批评并建议免去县人大代表资格1人）。成立重点工作专项督查组，针对脱贫攻坚工作、雅克音乐季筹备、工程项目建设等情况，开展监督检查，发现脱贫攻坚工作问题11个，限期整改11个，组织处理26人；督查项目建设12次，发现问题15个，督促限期整改15个；督查城乡环境综合整治5次，发现问题6个，限期整改6个，用精准有效的监督推动全县各项工作有力有序推进。</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（五）持续正风肃纪，政风行风向善向好</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认真贯彻落实中央八项规定及其实施细则精神，州、县《关于坚决整治形式主义、官僚主义进一步改进工作作风的七条意见》，制发《红原县开展“脱贫攻坚纪律作风保障年”活动实施方案》，开展综合督查1轮，发现问题5个，督促整改5个。开展“赌博敛财”问题专项整治，发布限期主动说明公告，制发《党员干部赌博行为处理的规定》，签订承诺书1900余份，明察暗访4次，提出赌博负面清单11条，全县通报批评6人。开展利用地方名贵特产谋取私利专项整治，发布限期主动说明公告，制发《关于严禁领导干部利用地方名贵特产谋取私利的规定》，组织66个单位自查自纠，签订承诺书480份，提出领导干部利用名贵特产谋取私利的负面清单6条。紧盯重要时间节点，制发重申纪律要求文件2份、发送廉政短信4期覆盖1800余人、微信廉政提醒3次，节日返岗情况督查5次，随机暗访3次。查处违反中央八项规定精神问题2个，党纪政务处分2人，通报曝光典型案件2起。</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（六）从严审查调查，推进“三不机制”有力有序</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始终坚持反腐败斗争“无禁区、全覆盖、零容忍”。一年来，收到信访举报38件，反腐败协调成员单位、巡察移交问题线索33件，累计处置问题线索71件，立案审查调查56件，给予党纪政务处分56人，移送司法2人，组织处理11人，挽回经济损失68.29万元。把灵活运用监督执纪“四种形态”作为推进全面从严治党的重要抓手，把谈心谈话作为关心爱护干部的实际举措，开展风险点廉政谈话3场8人次，干部提拔集体谈话3场24人次，公务员职务与职级晋升干部集体谈话95人次，谈话函询23人次，受处分人员谈心谈话56人次，通过抓早抓小，有效防止“小病”拖成“大病”、小错酿成大过。开展公开宣布纪律处分决定“四个面对面”警示教育活动30场，受教育520人，抓实纪律审查“后半篇文章”。开展“走读式”谈话安全隐患自查，整改“走读式”谈话点12个，规范“走读式”谈话点相关程序，落实执纪安全责任。</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（七）坚持问题导向，政治巡察效果日益凸显</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始终坚持问题导向，持续深化政治巡察。年内，开展常规巡察2轮，巡察党组织15个，发现问题332个，反馈整改问题299个，移交问题线索33条，立案4件，处分4人，正在处置29件。修订《中共红原县第十二届委员会巡察工作规划（2017-2021年）》，拟定《2019年红原县委巡察工作要点》、《中共红原县委巡察工作流程》，建立巡视巡察数据管理系统，推动政治巡察规范化建设。召开被巡察党组织专题民主生活会19场，受教育600余人。借力“帮扶式”巡察，搭建“零距离”巡察业务能力学习提升平台，着力提升巡察能力水平。</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（八）有效推进“三项”改革，全力锻造纪检铁军</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完成派驻纪检监察组更名赋权,全覆盖走访调研监督部门51个，建立纪委监委班子成员联系指导乡镇纪委监察室工作制度，聘请村（社区）纪检监察信息员38名，打通监督监察“最后一公里”。全面掌握改革后监督监察对象，梳理汇总全县监督执纪问责对象3505人，监督调查处置对象3911人。规范审查调查程序、通用文书，梳理汇编工作制度28项，扎实推动审查调查更加规范。举办纪检监察业务培训2期，开展执纪执法问题交流研讨2场次，集中学纪学法8场次，业务知识测试2次，选派干部参加省州业务培训16人次，有力提升纪检监察干部业务水平。创新开展“纪委委员党风行”活动，6名系统外纪委委员对3个乡镇党委巡察反馈问题整改情况进行专项检查，发现问题16个，提出意见建议15条。坚持刀刃向内，强化内部监督，主动对接县委巡察机构对我委开展巡察1轮，发现问题21个，反馈整改21个。严肃查处纪检监察干部失职失责问题，年内查处纪检监察干部履行监督责任不到位1件，党纪处分1人。</w:t>
      </w:r>
    </w:p>
    <w:p>
      <w:pPr>
        <w:spacing w:line="576" w:lineRule="exact"/>
        <w:ind w:firstLine="640" w:firstLineChars="200"/>
        <w:rPr>
          <w:rFonts w:hint="eastAsia" w:ascii="仿宋" w:hAnsi="仿宋" w:eastAsia="仿宋"/>
          <w:bCs/>
          <w:color w:val="000000"/>
          <w:sz w:val="32"/>
          <w:szCs w:val="32"/>
        </w:rPr>
      </w:pPr>
      <w:r>
        <w:rPr>
          <w:rFonts w:hint="eastAsia" w:ascii="仿宋_GB2312" w:eastAsia="仿宋_GB2312"/>
          <w:sz w:val="32"/>
          <w:szCs w:val="32"/>
        </w:rPr>
        <w:t>在肯定成绩的同时，必须清醒地认识到，我们的工作与县委的要求和群众的期盼还有差距，反腐败斗争形势依然严峻复杂。有的党组织党风廉政建设“两个责任”压力传导不到位，“扫黑除恶”、破网打伞方面手段不足、恒心不够，“四风问题”隐形变异，少数干部不收敛不收手，一些基层的苍蝇、扶贫的蛀虫不同程度存在；少数纪检监察干部能力水平还不能完全适应新形势、新任务的要求，对这些问题我们将高度重视，认真加以解决。</w:t>
      </w:r>
    </w:p>
    <w:p>
      <w:pPr>
        <w:pStyle w:val="5"/>
        <w:ind w:firstLine="640" w:firstLineChars="200"/>
        <w:rPr>
          <w:rStyle w:val="2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spacing w:line="57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红原</w:t>
      </w:r>
      <w:r>
        <w:rPr>
          <w:rFonts w:hint="eastAsia" w:ascii="仿宋_GB2312" w:eastAsia="仿宋_GB2312"/>
          <w:sz w:val="32"/>
          <w:szCs w:val="32"/>
        </w:rPr>
        <w:t>县纪委监委</w:t>
      </w:r>
      <w:r>
        <w:rPr>
          <w:rFonts w:hint="eastAsia" w:ascii="仿宋_GB2312" w:eastAsia="仿宋_GB2312"/>
          <w:sz w:val="32"/>
          <w:szCs w:val="32"/>
          <w:lang w:eastAsia="zh-CN"/>
        </w:rPr>
        <w:t>、巡察办</w:t>
      </w:r>
      <w:r>
        <w:rPr>
          <w:rFonts w:hint="eastAsia" w:ascii="仿宋_GB2312" w:eastAsia="仿宋_GB2312"/>
          <w:sz w:val="32"/>
          <w:szCs w:val="32"/>
          <w:lang w:val="en-US" w:eastAsia="zh-CN"/>
        </w:rPr>
        <w:t>2019年</w:t>
      </w:r>
      <w:r>
        <w:rPr>
          <w:rFonts w:hint="eastAsia" w:ascii="仿宋_GB2312" w:eastAsia="仿宋_GB2312"/>
          <w:sz w:val="32"/>
          <w:szCs w:val="32"/>
          <w:lang w:eastAsia="zh-CN"/>
        </w:rPr>
        <w:t>公务员编制</w:t>
      </w:r>
      <w:r>
        <w:rPr>
          <w:rFonts w:hint="eastAsia" w:ascii="仿宋_GB2312" w:eastAsia="仿宋_GB2312"/>
          <w:sz w:val="32"/>
          <w:szCs w:val="32"/>
          <w:lang w:val="en-US" w:eastAsia="zh-CN"/>
        </w:rPr>
        <w:t>47人，工勤编制2人</w:t>
      </w:r>
      <w:r>
        <w:rPr>
          <w:rFonts w:hint="eastAsia" w:ascii="仿宋_GB2312" w:eastAsia="仿宋_GB2312"/>
          <w:sz w:val="32"/>
          <w:szCs w:val="32"/>
        </w:rPr>
        <w:t>。</w:t>
      </w:r>
      <w:r>
        <w:rPr>
          <w:rFonts w:hint="eastAsia" w:ascii="仿宋_GB2312" w:eastAsia="仿宋_GB2312"/>
          <w:sz w:val="32"/>
          <w:szCs w:val="32"/>
          <w:lang w:eastAsia="zh-CN"/>
        </w:rPr>
        <w:t>年末在职公务员</w:t>
      </w:r>
      <w:r>
        <w:rPr>
          <w:rFonts w:hint="eastAsia" w:ascii="仿宋_GB2312" w:eastAsia="仿宋_GB2312"/>
          <w:sz w:val="32"/>
          <w:szCs w:val="32"/>
          <w:lang w:val="en-US" w:eastAsia="zh-CN"/>
        </w:rPr>
        <w:t>42人，工勤4人</w:t>
      </w:r>
      <w:r>
        <w:rPr>
          <w:rFonts w:hint="eastAsia" w:ascii="仿宋_GB2312" w:eastAsia="仿宋_GB2312"/>
          <w:sz w:val="32"/>
          <w:szCs w:val="32"/>
        </w:rPr>
        <w:t>。</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一）办公室。负责县纪委监委日常运转工作。负责筹备重要会议、活动；组织起草县纪委监委有关文件文稿；负责纪委监委机关干部和派驻机构日常管理和监督工作。（二）党风政风监督室。负责综合协调贯彻执行党的路线方针和决策、国家法律法规等情况的监督检查，组织协调重要监督活动，负责汇总党风廉政建设和反腐败工作情况。（三）信访室。负责受理党组织、党员违反党纪行为，对监督对象不依法履职，违反秉公用权、廉洁从政从业及道德操守等规定，涉嫌职务违法、职务负责行为的检举控告。（四）案件监督管理室。负责对监督检查、审查调查工作全过程监督管理，履行线索管理、组织协调、监督检查、督促办理、统计分析职责。（五）第一至第四纪检监察室。负责监督检查的纪检监察室主要履行依法监督的职责。（六）案件审理室。负责审理纪委监委机关直接审查调查和在县级党组织、纪检监察机关报批或备案的违反党纪和职务违法、职务犯罪案件，严格依规依纪提出处理或者处分意见。（七）纪检监察干部监督室。负责监督检查全县纪检监察系统干部遵守和执行党的章程和其他党内法规、党的路线方针政策和决议、国家法律法规等方面的情况。</w:t>
      </w:r>
      <w:bookmarkStart w:id="22" w:name="_Toc15396602"/>
      <w:bookmarkStart w:id="23" w:name="_Toc15377204"/>
    </w:p>
    <w:p>
      <w:pPr>
        <w:spacing w:line="576" w:lineRule="exact"/>
        <w:ind w:firstLine="640" w:firstLineChars="200"/>
        <w:rPr>
          <w:rFonts w:hint="eastAsia" w:ascii="仿宋_GB2312" w:eastAsia="仿宋_GB2312"/>
          <w:sz w:val="32"/>
          <w:szCs w:val="32"/>
        </w:rPr>
      </w:pPr>
    </w:p>
    <w:p>
      <w:pPr>
        <w:ind w:firstLine="880" w:firstLineChars="200"/>
        <w:rPr>
          <w:rStyle w:val="26"/>
          <w:rFonts w:ascii="黑体" w:hAnsi="黑体" w:eastAsia="黑体"/>
          <w:b w:val="0"/>
          <w:bCs w:val="0"/>
        </w:rPr>
      </w:pPr>
      <w:r>
        <w:rPr>
          <w:rStyle w:val="26"/>
          <w:rFonts w:hint="eastAsia" w:ascii="黑体" w:hAnsi="黑体" w:eastAsia="黑体"/>
          <w:b w:val="0"/>
          <w:bCs w:val="0"/>
        </w:rPr>
        <w:t>第二部分 2019年度部门决算情况说明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sz w:val="32"/>
          <w:szCs w:val="32"/>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sz w:val="32"/>
          <w:szCs w:val="32"/>
        </w:rPr>
        <w:t>入支出决算总体情况说明</w:t>
      </w:r>
      <w:bookmarkEnd w:id="24"/>
      <w:bookmarkEnd w:id="25"/>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lang w:eastAsia="zh-CN"/>
        </w:rPr>
        <w:t>年我单位本年收入合计</w:t>
      </w:r>
      <w:r>
        <w:rPr>
          <w:rFonts w:hint="eastAsia" w:ascii="仿宋_GB2312" w:eastAsia="仿宋_GB2312"/>
          <w:sz w:val="32"/>
          <w:szCs w:val="32"/>
          <w:lang w:val="en-US" w:eastAsia="zh-CN"/>
        </w:rPr>
        <w:t>886.47</w:t>
      </w:r>
      <w:r>
        <w:rPr>
          <w:rFonts w:hint="eastAsia" w:ascii="仿宋_GB2312" w:eastAsia="仿宋_GB2312"/>
          <w:sz w:val="32"/>
          <w:szCs w:val="32"/>
          <w:lang w:eastAsia="zh-CN"/>
        </w:rPr>
        <w:t>万元，上年收入591.12万元，较上年增加</w:t>
      </w:r>
      <w:r>
        <w:rPr>
          <w:rFonts w:hint="eastAsia" w:ascii="仿宋_GB2312" w:eastAsia="仿宋_GB2312"/>
          <w:sz w:val="32"/>
          <w:szCs w:val="32"/>
          <w:lang w:val="en-US" w:eastAsia="zh-CN"/>
        </w:rPr>
        <w:t>49.96</w:t>
      </w:r>
      <w:r>
        <w:rPr>
          <w:rFonts w:hint="eastAsia" w:ascii="仿宋_GB2312" w:eastAsia="仿宋_GB2312"/>
          <w:sz w:val="32"/>
          <w:szCs w:val="32"/>
          <w:lang w:eastAsia="zh-CN"/>
        </w:rPr>
        <w:t>%，主要增加原因，办案经费、办公费，出差费等费用增加。201</w:t>
      </w:r>
      <w:r>
        <w:rPr>
          <w:rFonts w:hint="eastAsia" w:ascii="仿宋_GB2312" w:eastAsia="仿宋_GB2312"/>
          <w:sz w:val="32"/>
          <w:szCs w:val="32"/>
          <w:lang w:val="en-US" w:eastAsia="zh-CN"/>
        </w:rPr>
        <w:t>9</w:t>
      </w:r>
      <w:r>
        <w:rPr>
          <w:rFonts w:hint="eastAsia" w:ascii="仿宋_GB2312" w:eastAsia="仿宋_GB2312"/>
          <w:sz w:val="32"/>
          <w:szCs w:val="32"/>
          <w:lang w:eastAsia="zh-CN"/>
        </w:rPr>
        <w:t>年本年支出合计</w:t>
      </w:r>
      <w:r>
        <w:rPr>
          <w:rFonts w:hint="eastAsia" w:ascii="仿宋_GB2312" w:eastAsia="仿宋_GB2312"/>
          <w:sz w:val="32"/>
          <w:szCs w:val="32"/>
          <w:lang w:val="en-US" w:eastAsia="zh-CN"/>
        </w:rPr>
        <w:t>935.10</w:t>
      </w:r>
      <w:r>
        <w:rPr>
          <w:rFonts w:hint="eastAsia" w:ascii="仿宋_GB2312" w:eastAsia="仿宋_GB2312"/>
          <w:sz w:val="32"/>
          <w:szCs w:val="32"/>
          <w:lang w:eastAsia="zh-CN"/>
        </w:rPr>
        <w:t>万元，其中：基本支出</w:t>
      </w:r>
      <w:r>
        <w:rPr>
          <w:rFonts w:hint="eastAsia" w:ascii="仿宋_GB2312" w:eastAsia="仿宋_GB2312"/>
          <w:sz w:val="32"/>
          <w:szCs w:val="32"/>
          <w:lang w:val="en-US" w:eastAsia="zh-CN"/>
        </w:rPr>
        <w:t>853.78</w:t>
      </w:r>
      <w:r>
        <w:rPr>
          <w:rFonts w:hint="eastAsia" w:ascii="仿宋_GB2312" w:eastAsia="仿宋_GB2312"/>
          <w:sz w:val="32"/>
          <w:szCs w:val="32"/>
          <w:lang w:eastAsia="zh-CN"/>
        </w:rPr>
        <w:t>万元，占</w:t>
      </w:r>
      <w:r>
        <w:rPr>
          <w:rFonts w:hint="eastAsia" w:ascii="仿宋_GB2312" w:eastAsia="仿宋_GB2312"/>
          <w:sz w:val="32"/>
          <w:szCs w:val="32"/>
          <w:lang w:val="en-US" w:eastAsia="zh-CN"/>
        </w:rPr>
        <w:t>91.30</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81.32</w:t>
      </w:r>
      <w:r>
        <w:rPr>
          <w:rFonts w:hint="eastAsia" w:ascii="仿宋_GB2312" w:eastAsia="仿宋_GB2312"/>
          <w:sz w:val="32"/>
          <w:szCs w:val="32"/>
          <w:lang w:eastAsia="zh-CN"/>
        </w:rPr>
        <w:t>万元，占</w:t>
      </w:r>
      <w:r>
        <w:rPr>
          <w:rFonts w:hint="eastAsia" w:ascii="仿宋_GB2312" w:eastAsia="仿宋_GB2312"/>
          <w:sz w:val="32"/>
          <w:szCs w:val="32"/>
          <w:lang w:val="en-US" w:eastAsia="zh-CN"/>
        </w:rPr>
        <w:t>8.70</w:t>
      </w:r>
      <w:r>
        <w:rPr>
          <w:rFonts w:hint="eastAsia" w:ascii="仿宋_GB2312" w:eastAsia="仿宋_GB2312"/>
          <w:sz w:val="32"/>
          <w:szCs w:val="32"/>
          <w:lang w:eastAsia="zh-CN"/>
        </w:rPr>
        <w:t>%。</w:t>
      </w:r>
      <w:r>
        <w:rPr>
          <w:rFonts w:hint="eastAsia" w:ascii="仿宋_GB2312" w:eastAsia="仿宋_GB2312"/>
          <w:sz w:val="32"/>
          <w:szCs w:val="32"/>
          <w:lang w:val="en-US" w:eastAsia="zh-CN"/>
        </w:rPr>
        <w:t xml:space="preserve"> </w:t>
      </w:r>
    </w:p>
    <w:p>
      <w:pPr>
        <w:pStyle w:val="25"/>
        <w:numPr>
          <w:ilvl w:val="0"/>
          <w:numId w:val="1"/>
        </w:numPr>
        <w:spacing w:line="600" w:lineRule="exact"/>
        <w:ind w:firstLineChars="0"/>
        <w:outlineLvl w:val="1"/>
        <w:rPr>
          <w:rStyle w:val="27"/>
          <w:rFonts w:ascii="黑体" w:hAnsi="黑体" w:eastAsia="黑体"/>
          <w:b w:val="0"/>
          <w:sz w:val="32"/>
          <w:szCs w:val="32"/>
        </w:rPr>
      </w:pPr>
      <w:bookmarkStart w:id="26" w:name="_Toc15377206"/>
      <w:bookmarkStart w:id="27" w:name="_Toc15396604"/>
      <w:r>
        <w:rPr>
          <w:rFonts w:hint="eastAsia" w:ascii="黑体" w:hAnsi="黑体" w:eastAsia="黑体"/>
          <w:color w:val="000000"/>
          <w:sz w:val="32"/>
          <w:szCs w:val="32"/>
        </w:rPr>
        <w:t>收</w:t>
      </w:r>
      <w:r>
        <w:rPr>
          <w:rStyle w:val="27"/>
          <w:rFonts w:hint="eastAsia" w:ascii="黑体" w:hAnsi="黑体" w:eastAsia="黑体"/>
          <w:b w:val="0"/>
          <w:sz w:val="32"/>
          <w:szCs w:val="32"/>
        </w:rPr>
        <w:t>入决算情况说明</w:t>
      </w:r>
      <w:bookmarkEnd w:id="26"/>
      <w:bookmarkEnd w:id="27"/>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lang w:eastAsia="zh-CN"/>
        </w:rPr>
        <w:t>年本年收入合计</w:t>
      </w:r>
      <w:r>
        <w:rPr>
          <w:rFonts w:hint="eastAsia" w:ascii="仿宋_GB2312" w:eastAsia="仿宋_GB2312"/>
          <w:sz w:val="32"/>
          <w:szCs w:val="32"/>
          <w:lang w:val="en-US" w:eastAsia="zh-CN"/>
        </w:rPr>
        <w:t>886.47</w:t>
      </w:r>
      <w:r>
        <w:rPr>
          <w:rFonts w:hint="eastAsia" w:ascii="仿宋_GB2312" w:eastAsia="仿宋_GB2312"/>
          <w:sz w:val="32"/>
          <w:szCs w:val="32"/>
          <w:lang w:eastAsia="zh-CN"/>
        </w:rPr>
        <w:t>万元，其中：一般公共预算财政拨款收入</w:t>
      </w:r>
      <w:r>
        <w:rPr>
          <w:rFonts w:hint="eastAsia" w:ascii="仿宋_GB2312" w:eastAsia="仿宋_GB2312"/>
          <w:sz w:val="32"/>
          <w:szCs w:val="32"/>
          <w:lang w:val="en-US" w:eastAsia="zh-CN"/>
        </w:rPr>
        <w:t>886.47</w:t>
      </w:r>
      <w:r>
        <w:rPr>
          <w:rFonts w:hint="eastAsia" w:ascii="仿宋_GB2312" w:eastAsia="仿宋_GB2312"/>
          <w:sz w:val="32"/>
          <w:szCs w:val="32"/>
          <w:lang w:eastAsia="zh-CN"/>
        </w:rPr>
        <w:t>万元，占</w:t>
      </w:r>
      <w:r>
        <w:rPr>
          <w:rFonts w:hint="eastAsia" w:ascii="仿宋_GB2312" w:eastAsia="仿宋_GB2312"/>
          <w:sz w:val="32"/>
          <w:szCs w:val="32"/>
          <w:lang w:val="en-US" w:eastAsia="zh-CN"/>
        </w:rPr>
        <w:t>100</w:t>
      </w:r>
      <w:r>
        <w:rPr>
          <w:rFonts w:hint="eastAsia" w:ascii="仿宋_GB2312" w:eastAsia="仿宋_GB2312"/>
          <w:sz w:val="32"/>
          <w:szCs w:val="32"/>
          <w:lang w:eastAsia="zh-CN"/>
        </w:rPr>
        <w:t>%；上年结转结余</w:t>
      </w:r>
      <w:r>
        <w:rPr>
          <w:rFonts w:hint="eastAsia" w:ascii="仿宋_GB2312" w:eastAsia="仿宋_GB2312"/>
          <w:sz w:val="32"/>
          <w:szCs w:val="32"/>
          <w:lang w:val="en-US" w:eastAsia="zh-CN"/>
        </w:rPr>
        <w:t>53.2</w:t>
      </w:r>
      <w:r>
        <w:rPr>
          <w:rFonts w:hint="eastAsia" w:ascii="仿宋_GB2312" w:eastAsia="仿宋_GB2312"/>
          <w:sz w:val="32"/>
          <w:szCs w:val="32"/>
          <w:lang w:eastAsia="zh-CN"/>
        </w:rPr>
        <w:t>万元，占</w:t>
      </w:r>
      <w:r>
        <w:rPr>
          <w:rFonts w:hint="eastAsia" w:ascii="仿宋_GB2312" w:eastAsia="仿宋_GB2312"/>
          <w:sz w:val="32"/>
          <w:szCs w:val="32"/>
          <w:lang w:val="en-US" w:eastAsia="zh-CN"/>
        </w:rPr>
        <w:t>6%。</w:t>
      </w:r>
      <w:r>
        <w:rPr>
          <w:rFonts w:hint="eastAsia" w:ascii="仿宋_GB2312" w:eastAsia="仿宋_GB2312"/>
          <w:sz w:val="32"/>
          <w:szCs w:val="32"/>
          <w:lang w:eastAsia="zh-CN"/>
        </w:rPr>
        <w:t>政府性基金预算财政拨款收入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%；国有资本经营预算财政拨款收入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%；事业收入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%；经营收入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%；附属单位上缴收入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%；其他收入</w:t>
      </w:r>
      <w:r>
        <w:rPr>
          <w:rFonts w:hint="eastAsia" w:ascii="仿宋_GB2312" w:eastAsia="仿宋_GB2312"/>
          <w:sz w:val="32"/>
          <w:szCs w:val="32"/>
          <w:lang w:val="en-US" w:eastAsia="zh-CN"/>
        </w:rPr>
        <w:t>0.01</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w:t>
      </w:r>
    </w:p>
    <w:p>
      <w:pPr>
        <w:pStyle w:val="25"/>
        <w:numPr>
          <w:ilvl w:val="0"/>
          <w:numId w:val="1"/>
        </w:numPr>
        <w:spacing w:line="600" w:lineRule="exact"/>
        <w:ind w:firstLineChars="0"/>
        <w:outlineLvl w:val="1"/>
        <w:rPr>
          <w:rStyle w:val="27"/>
          <w:rFonts w:ascii="黑体" w:hAnsi="黑体" w:eastAsia="黑体"/>
          <w:b w:val="0"/>
          <w:sz w:val="32"/>
          <w:szCs w:val="32"/>
        </w:rPr>
      </w:pPr>
      <w:bookmarkStart w:id="28" w:name="_Toc15396605"/>
      <w:bookmarkStart w:id="29" w:name="_Toc15377207"/>
      <w:r>
        <w:rPr>
          <w:rFonts w:hint="eastAsia" w:ascii="黑体" w:hAnsi="黑体" w:eastAsia="黑体"/>
          <w:color w:val="000000"/>
          <w:sz w:val="32"/>
          <w:szCs w:val="32"/>
        </w:rPr>
        <w:t>支</w:t>
      </w:r>
      <w:r>
        <w:rPr>
          <w:rStyle w:val="27"/>
          <w:rFonts w:hint="eastAsia" w:ascii="黑体" w:hAnsi="黑体" w:eastAsia="黑体"/>
          <w:b w:val="0"/>
          <w:sz w:val="32"/>
          <w:szCs w:val="32"/>
        </w:rPr>
        <w:t>出决算情况说明</w:t>
      </w:r>
      <w:bookmarkEnd w:id="28"/>
      <w:bookmarkEnd w:id="29"/>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w:t>
      </w:r>
      <w:r>
        <w:rPr>
          <w:rFonts w:hint="eastAsia" w:ascii="仿宋_GB2312" w:eastAsia="仿宋_GB2312"/>
          <w:sz w:val="32"/>
          <w:szCs w:val="32"/>
          <w:lang w:val="en-US" w:eastAsia="zh-CN"/>
        </w:rPr>
        <w:t>019年本年支出合计935.10万元，其中：基本支出853.78万元，占91.30%；项目支出81.32万元，占8.70%；上缴上级支出0万元，占0%；经营支出0万元，占0%；对附属单位补助支出0万元，占0%。</w:t>
      </w:r>
    </w:p>
    <w:p>
      <w:pPr>
        <w:spacing w:line="600" w:lineRule="exact"/>
        <w:ind w:firstLine="640" w:firstLineChars="200"/>
        <w:outlineLvl w:val="1"/>
        <w:rPr>
          <w:rStyle w:val="27"/>
          <w:rFonts w:ascii="黑体" w:hAnsi="黑体" w:eastAsia="黑体"/>
          <w:b w:val="0"/>
          <w:sz w:val="32"/>
          <w:szCs w:val="32"/>
        </w:rPr>
      </w:pPr>
      <w:bookmarkStart w:id="30" w:name="_Toc15396606"/>
      <w:bookmarkStart w:id="31" w:name="_Toc15377208"/>
      <w:r>
        <w:rPr>
          <w:rFonts w:hint="eastAsia" w:ascii="黑体" w:hAnsi="黑体" w:eastAsia="黑体"/>
          <w:color w:val="000000"/>
          <w:sz w:val="32"/>
          <w:szCs w:val="32"/>
        </w:rPr>
        <w:t>四、财</w:t>
      </w:r>
      <w:r>
        <w:rPr>
          <w:rStyle w:val="27"/>
          <w:rFonts w:hint="eastAsia" w:ascii="黑体" w:hAnsi="黑体" w:eastAsia="黑体"/>
          <w:b w:val="0"/>
          <w:sz w:val="32"/>
          <w:szCs w:val="32"/>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hint="eastAsia" w:ascii="仿宋_GB2312" w:eastAsia="仿宋_GB2312"/>
          <w:sz w:val="32"/>
          <w:szCs w:val="32"/>
          <w:lang w:val="en-US" w:eastAsia="zh-CN"/>
        </w:rPr>
        <w:t>2019年度本年收入合计886.47万元,与2018年相比，财政拨款收入增加218.35万元，增长32.68%。办案经费、办公费，出差费等费用增加。2019年本年支出合计935.10万元,支出比2018年增加266.98万元，增长39.95%。办案经费、办公费，出差费等费用增加。</w:t>
      </w:r>
      <w:r>
        <w:rPr>
          <w:rFonts w:hint="eastAsia" w:ascii="仿宋" w:hAnsi="仿宋" w:eastAsia="仿宋"/>
          <w:color w:val="000000"/>
          <w:sz w:val="32"/>
          <w:szCs w:val="32"/>
          <w:lang w:val="en-US" w:eastAsia="zh-CN"/>
        </w:rPr>
        <w:t xml:space="preserve"> </w:t>
      </w:r>
    </w:p>
    <w:p>
      <w:pPr>
        <w:spacing w:line="600" w:lineRule="exact"/>
        <w:ind w:firstLine="640" w:firstLineChars="200"/>
        <w:outlineLvl w:val="1"/>
        <w:rPr>
          <w:rStyle w:val="27"/>
          <w:rFonts w:ascii="黑体" w:hAnsi="黑体" w:eastAsia="黑体"/>
          <w:b w:val="0"/>
          <w:sz w:val="32"/>
          <w:szCs w:val="32"/>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sz w:val="32"/>
          <w:szCs w:val="32"/>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2019年一般公共预算财政拨款支出720.85万元，占本年支出合计的77.09%。与2018年相比，一般公共预算财政拨款增加129.72万元，增加21.94%。办案经费、办公费，出差费等费用增加。</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firstLineChars="200"/>
        <w:rPr>
          <w:rFonts w:hint="default" w:ascii="仿宋" w:hAnsi="仿宋" w:eastAsia="仿宋"/>
          <w:color w:val="000000" w:themeColor="text1"/>
          <w:sz w:val="32"/>
          <w:szCs w:val="32"/>
          <w:lang w:val="en-US" w:eastAsia="zh-CN"/>
        </w:rPr>
      </w:pPr>
      <w:r>
        <w:rPr>
          <w:rFonts w:hint="eastAsia" w:ascii="仿宋_GB2312" w:eastAsia="仿宋_GB2312"/>
          <w:sz w:val="32"/>
          <w:szCs w:val="32"/>
          <w:lang w:val="en-US" w:eastAsia="zh-CN"/>
        </w:rPr>
        <w:t>2019年一般公共预算财政拨款支出720.85万元，占本年支出合计的77.09%。主要用于以下方面:行政运行支出639.53万元，占88.72%；一般行政管理事务支出79.82万元，占11.07%；其他一般公共服务支出1.5万元，占0.21%。</w:t>
      </w:r>
    </w:p>
    <w:p>
      <w:pPr>
        <w:spacing w:line="600" w:lineRule="exact"/>
        <w:ind w:firstLine="643" w:firstLineChars="200"/>
        <w:rPr>
          <w:rFonts w:ascii="仿宋" w:hAnsi="仿宋" w:eastAsia="仿宋"/>
          <w:color w:val="000000"/>
          <w:sz w:val="32"/>
          <w:szCs w:val="32"/>
        </w:rPr>
      </w:pP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w:t>
      </w:r>
      <w:r>
        <w:rPr>
          <w:rFonts w:hint="eastAsia" w:ascii="仿宋_GB2312" w:eastAsia="仿宋_GB2312"/>
          <w:sz w:val="32"/>
          <w:szCs w:val="32"/>
          <w:lang w:val="en-US" w:eastAsia="zh-CN"/>
        </w:rPr>
        <w:t>出104.31万元，机关事业单位基本养老保险缴费支出70.88万元，占7.58%；机关事业单位职业年金缴费支出33.43万元，占3.57%；卫生健康支出43.85万元，占4.69%；住房保障支出66.08万元，占7.07%。</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r>
        <w:rPr>
          <w:rFonts w:hint="eastAsia" w:ascii="仿宋" w:hAnsi="仿宋" w:eastAsia="仿宋"/>
          <w:b/>
          <w:color w:val="000000" w:themeColor="text1"/>
          <w:sz w:val="32"/>
          <w:szCs w:val="32"/>
        </w:rPr>
        <w:t>201</w:t>
      </w:r>
      <w:r>
        <w:rPr>
          <w:rFonts w:hint="eastAsia" w:ascii="仿宋" w:hAnsi="仿宋" w:eastAsia="仿宋"/>
          <w:b/>
          <w:color w:val="000000" w:themeColor="text1"/>
          <w:sz w:val="32"/>
          <w:szCs w:val="32"/>
          <w:lang w:val="en-US" w:eastAsia="zh-CN"/>
        </w:rPr>
        <w:t>9</w:t>
      </w:r>
      <w:r>
        <w:rPr>
          <w:rFonts w:hint="eastAsia" w:ascii="仿宋" w:hAnsi="仿宋" w:eastAsia="仿宋"/>
          <w:b/>
          <w:color w:val="000000" w:themeColor="text1"/>
          <w:sz w:val="32"/>
          <w:szCs w:val="32"/>
        </w:rPr>
        <w:t>年</w:t>
      </w:r>
      <w:r>
        <w:rPr>
          <w:rFonts w:hint="eastAsia" w:ascii="仿宋" w:hAnsi="仿宋" w:eastAsia="仿宋"/>
          <w:b/>
          <w:color w:val="000000" w:themeColor="text1"/>
          <w:sz w:val="32"/>
          <w:szCs w:val="32"/>
          <w:lang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935.10万元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105.48</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1.社会保险经办机构208:支出决算为104.31万元，完成预算100%，决算数等于预算数的主要原因是资金使用合理。</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2.机关事业单位基本养老保险缴费支出2080505: 支出决算为,70.88万元，完成预算100%，决算数等于预算数的主要原因是资金使用合理。</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3.机关事业单位职业年金缴费支出2080506:支出决算为33.43万元，完成预算100%，决算数等于预算数的主要原因资金使用合理。</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4.行政单位医疗2101101支出决算为36.19万元，完成预算100%，决算数等于预算数的主要原因资金使用合理。</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5.公务员医疗补助2101103:支出决算为7.66万元，完成预算100%，决算数等于预算数的主要原因资金使用合理。</w:t>
      </w:r>
    </w:p>
    <w:p>
      <w:pPr>
        <w:spacing w:line="60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6.住房公积金2210201:支出决算为66.08万元，完成预算100%，决算数等于预算数的主要原因资金使用合理。</w:t>
      </w:r>
    </w:p>
    <w:p>
      <w:pPr>
        <w:pStyle w:val="13"/>
        <w:adjustRightInd w:val="0"/>
        <w:snapToGrid w:val="0"/>
        <w:spacing w:line="440" w:lineRule="exact"/>
        <w:ind w:left="0" w:leftChars="0" w:firstLine="643" w:firstLineChars="200"/>
        <w:jc w:val="left"/>
        <w:rPr>
          <w:rFonts w:hint="eastAsia"/>
          <w:b/>
          <w:bCs/>
          <w:sz w:val="32"/>
          <w:szCs w:val="32"/>
        </w:rPr>
      </w:pPr>
      <w:r>
        <w:rPr>
          <w:rFonts w:hint="eastAsia"/>
          <w:b/>
          <w:bCs/>
          <w:sz w:val="32"/>
          <w:szCs w:val="32"/>
        </w:rPr>
        <w:t>六、一般公共预算财政拨款基本支出决算情况说明</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2019年一般公共预算财政拨款基本支出935.10万元，其中：</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人员经费785.08万元，主要包括：基本工资（167.51万元）、津贴补贴（264.07万元）、奖金（131.31万元）、机关事业单位基本养老保险缴费（70.88万元）、职业年金缴费（33.43万元）、职工基本医疗保险缴费（36.19）万元、公务员医疗补助（7.66万元）、其他社会保障缴费（5.06万元）、住房公积金（66.08元）、医疗费（2.88万元）。　　</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公用经费122.60万元，主要包括：办公费（23.32万元）、印刷费（6.06万元）、手续费（0.10万元）、水费（0.85万元）、电费（4.28万元）、邮电费（7.87万元）、取暖费（1.12万元）、差旅费(49.01万元)、维修（护）费(0万元)、公务接待费(1.06万元)、公务用车运行维护费(20.18万元)。</w:t>
      </w:r>
    </w:p>
    <w:p>
      <w:pPr>
        <w:spacing w:line="600" w:lineRule="exact"/>
        <w:ind w:firstLine="640" w:firstLineChars="200"/>
        <w:rPr>
          <w:rFonts w:hint="eastAsia" w:ascii="仿宋_GB2312" w:eastAsia="仿宋_GB2312"/>
          <w:sz w:val="32"/>
          <w:szCs w:val="32"/>
          <w:lang w:val="en-US" w:eastAsia="zh-CN"/>
        </w:rPr>
      </w:pPr>
      <w:bookmarkStart w:id="37" w:name="_Toc15377214"/>
      <w:bookmarkStart w:id="38" w:name="_Toc15396608"/>
      <w:r>
        <w:rPr>
          <w:rFonts w:hint="eastAsia" w:ascii="仿宋_GB2312" w:eastAsia="仿宋_GB2312"/>
          <w:sz w:val="32"/>
          <w:szCs w:val="32"/>
          <w:lang w:val="en-US" w:eastAsia="zh-CN"/>
        </w:rPr>
        <w:t>六、一般公共预算财政拨款基本支出决算情况说明</w:t>
      </w:r>
      <w:bookmarkEnd w:id="37"/>
      <w:bookmarkEnd w:id="38"/>
      <w:r>
        <w:rPr>
          <w:rFonts w:hint="eastAsia" w:ascii="仿宋_GB2312" w:eastAsia="仿宋_GB2312"/>
          <w:sz w:val="32"/>
          <w:szCs w:val="32"/>
          <w:lang w:val="en-US" w:eastAsia="zh-CN"/>
        </w:rPr>
        <w:tab/>
      </w:r>
    </w:p>
    <w:p>
      <w:pPr>
        <w:spacing w:line="600" w:lineRule="exact"/>
        <w:ind w:firstLine="640" w:firstLineChars="200"/>
        <w:rPr>
          <w:rFonts w:hint="eastAsia" w:ascii="仿宋_GB2312" w:eastAsia="仿宋_GB2312"/>
          <w:sz w:val="32"/>
          <w:szCs w:val="32"/>
          <w:lang w:val="en-US" w:eastAsia="zh-CN"/>
        </w:rPr>
      </w:pPr>
      <w:bookmarkStart w:id="39" w:name="_Toc15377215"/>
      <w:bookmarkStart w:id="40" w:name="_Toc15396609"/>
      <w:r>
        <w:rPr>
          <w:rFonts w:hint="eastAsia" w:ascii="仿宋_GB2312" w:eastAsia="仿宋_GB2312"/>
          <w:sz w:val="32"/>
          <w:szCs w:val="32"/>
          <w:lang w:val="en-US" w:eastAsia="zh-CN"/>
        </w:rPr>
        <w:t>2019年一般公共预算财政拨款基本支出935.10万元，其中：</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人员经费785.08万元，主要包括：基本工资（167.51万元）、津贴补贴（264.07万元）、奖金（131.31万元）、机关事业单位基本养老保险缴费（70.88万元）、职业年金缴费（33.43万元）、职工基本医疗保险缴费（36.19）万元、公务员医疗补助（7.66万元）、其他社会保障缴费（5.06万元）、住房公积金（66.08元）、医疗费（2.88万元）。　　</w:t>
      </w:r>
    </w:p>
    <w:p>
      <w:pPr>
        <w:spacing w:line="60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公用经费122.60万元，主要包括：办公费（23.32万元）、印刷费（6.06万元）、手续费（0.10万元）、水费（0.85万元）、电费（4.28万元）、邮电费（7.87万元）、取暖费（1.12万元）、差旅费(49.01万元)</w:t>
      </w:r>
      <w:r>
        <w:rPr>
          <w:rFonts w:hint="eastAsia" w:ascii="仿宋" w:hAnsi="仿宋" w:eastAsia="仿宋"/>
          <w:color w:val="000000"/>
          <w:sz w:val="32"/>
          <w:szCs w:val="32"/>
        </w:rPr>
        <w:t>、维</w:t>
      </w:r>
      <w:r>
        <w:rPr>
          <w:rFonts w:hint="eastAsia" w:ascii="仿宋_GB2312" w:eastAsia="仿宋_GB2312"/>
          <w:sz w:val="32"/>
          <w:szCs w:val="32"/>
          <w:lang w:val="en-US" w:eastAsia="zh-CN"/>
        </w:rPr>
        <w:t>修（护）费(0万元)、公务接待费(1.06万元)、公务用车运行维护费(20.18万元)。</w:t>
      </w:r>
    </w:p>
    <w:p>
      <w:pPr>
        <w:spacing w:line="600" w:lineRule="exact"/>
        <w:ind w:firstLine="640"/>
        <w:outlineLvl w:val="1"/>
        <w:rPr>
          <w:rStyle w:val="27"/>
          <w:rFonts w:ascii="黑体" w:hAnsi="黑体" w:eastAsia="黑体"/>
          <w:b w:val="0"/>
          <w:sz w:val="32"/>
          <w:szCs w:val="32"/>
        </w:rPr>
      </w:pPr>
      <w:r>
        <w:rPr>
          <w:rFonts w:hint="eastAsia" w:ascii="黑体" w:eastAsia="黑体"/>
          <w:color w:val="000000"/>
          <w:sz w:val="32"/>
          <w:szCs w:val="32"/>
        </w:rPr>
        <w:t>七、</w:t>
      </w:r>
      <w:r>
        <w:rPr>
          <w:rStyle w:val="27"/>
          <w:rFonts w:hint="eastAsia" w:ascii="黑体" w:hAnsi="黑体" w:eastAsia="黑体"/>
          <w:sz w:val="32"/>
          <w:szCs w:val="32"/>
        </w:rPr>
        <w:t>“</w:t>
      </w:r>
      <w:r>
        <w:rPr>
          <w:rStyle w:val="27"/>
          <w:rFonts w:hint="eastAsia" w:ascii="黑体" w:hAnsi="黑体" w:eastAsia="黑体"/>
          <w:b w:val="0"/>
          <w:sz w:val="32"/>
          <w:szCs w:val="32"/>
        </w:rPr>
        <w:t>三公”经费财政拨款支出决算情况说明</w:t>
      </w:r>
      <w:bookmarkEnd w:id="39"/>
      <w:bookmarkEnd w:id="40"/>
    </w:p>
    <w:p>
      <w:pPr>
        <w:spacing w:line="600" w:lineRule="exact"/>
        <w:ind w:firstLine="640"/>
        <w:outlineLvl w:val="2"/>
        <w:rPr>
          <w:rFonts w:ascii="仿宋" w:hAnsi="仿宋" w:eastAsia="仿宋"/>
          <w:b/>
          <w:color w:val="000000"/>
          <w:sz w:val="32"/>
          <w:szCs w:val="32"/>
        </w:rPr>
      </w:pPr>
      <w:bookmarkStart w:id="41" w:name="_Toc15377216"/>
      <w:r>
        <w:rPr>
          <w:rFonts w:hint="eastAsia" w:ascii="仿宋" w:hAnsi="仿宋" w:eastAsia="仿宋"/>
          <w:b/>
          <w:color w:val="000000"/>
          <w:sz w:val="32"/>
          <w:szCs w:val="32"/>
        </w:rPr>
        <w:t>（一）“三公”经费财政拨款支出决算总体情况说明</w:t>
      </w:r>
      <w:bookmarkEnd w:id="41"/>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2019年“三公”经费财政拨款支出决算为21.24万元，完成预算100%，决算数与预算数持平的主要原因是严格控制三公经费使用额度。</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pPr>
        <w:spacing w:line="600" w:lineRule="exact"/>
        <w:ind w:firstLine="640"/>
        <w:rPr>
          <w:rFonts w:ascii="仿宋" w:hAnsi="仿宋" w:eastAsia="仿宋"/>
          <w:color w:val="000000"/>
          <w:sz w:val="32"/>
          <w:szCs w:val="32"/>
        </w:rPr>
      </w:pPr>
      <w:r>
        <w:rPr>
          <w:rFonts w:hint="eastAsia" w:ascii="仿宋_GB2312" w:eastAsia="仿宋_GB2312"/>
          <w:sz w:val="32"/>
          <w:szCs w:val="32"/>
          <w:lang w:val="en-US" w:eastAsia="zh-CN"/>
        </w:rPr>
        <w:t>2019年“三公”经费财政拨款支出决算中，因公出国（境）费支出决算0万元，占0%；公务用车购置及运行维护费支出决算20.18万元，占95%；公务接待费支出决算1.06万元，占5%。具体情况如下：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sz w:val="32"/>
          <w:szCs w:val="32"/>
          <w:lang w:val="en-US" w:eastAsia="zh-CN"/>
        </w:rPr>
        <w:t>0万元，完成预算0%。全年安排因公出国（境）团组0次，出国（境）0人。</w:t>
      </w:r>
    </w:p>
    <w:p>
      <w:pPr>
        <w:spacing w:line="600" w:lineRule="exact"/>
        <w:ind w:firstLine="640"/>
        <w:rPr>
          <w:rFonts w:hint="eastAsia" w:ascii="仿宋_GB2312" w:eastAsia="仿宋_GB2312"/>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sz w:val="32"/>
          <w:szCs w:val="32"/>
          <w:lang w:val="en-US" w:eastAsia="zh-CN"/>
        </w:rPr>
        <w:t>20.18万元,完成预算100%。公务用车购置及运行维护费支出决算比2018年增加8.90万元，增加78.90%。主要原因是公务用车只有1台，办案租车导致费用增加。</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sz w:val="32"/>
          <w:szCs w:val="32"/>
          <w:lang w:val="en-US" w:eastAsia="zh-CN"/>
        </w:rPr>
        <w:t>全年按规定更新购置公务用车0辆，其中：轿车0辆、金额0万元，越野车0辆、金额0万元，载客汽车0辆、金额0万元。截至2019年12月底，单位共有公务用车3辆，其中：轿车2辆、越野车1辆、载客汽车0辆。</w:t>
      </w:r>
    </w:p>
    <w:p>
      <w:pPr>
        <w:spacing w:line="600" w:lineRule="exact"/>
        <w:ind w:firstLine="640"/>
        <w:rPr>
          <w:rFonts w:hint="eastAsia" w:ascii="仿宋_GB2312" w:eastAsia="仿宋_GB2312"/>
          <w:sz w:val="32"/>
          <w:szCs w:val="32"/>
          <w:lang w:val="en-US" w:eastAsia="zh-CN"/>
        </w:rPr>
      </w:pP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20.18万元。主要用于开展纪检监察业务工作，所需的公务用车燃料费、维修费、过路过桥费、保险费等支出。</w:t>
      </w:r>
    </w:p>
    <w:p>
      <w:pPr>
        <w:spacing w:line="600" w:lineRule="exact"/>
        <w:ind w:firstLine="640"/>
        <w:rPr>
          <w:rFonts w:hint="eastAsia" w:ascii="仿宋_GB2312" w:eastAsia="仿宋_GB2312"/>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sz w:val="32"/>
          <w:szCs w:val="32"/>
          <w:lang w:val="en-US" w:eastAsia="zh-CN"/>
        </w:rPr>
        <w:t>1.06万元，完成预算88.33%。公务接待费支出决算比2018年增加0.43万元，增加69.25%。主要原因是严格按照要求开展公务接待。主要用于执行公务、开展业务活动开支的交通费、住宿费、用餐费等。国内公务接待5批次，96人次（不包括陪同人员），共计支出1.06万元，具体内容包括：上级纪委检查工作、浙江、绵阳对口公务接待。</w:t>
      </w:r>
      <w:bookmarkStart w:id="42" w:name="_Toc15377218"/>
      <w:bookmarkStart w:id="43" w:name="_Toc15396610"/>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2"/>
      <w:bookmarkEnd w:id="43"/>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2019年政府性基金预算拨款支出0万元。</w:t>
      </w:r>
    </w:p>
    <w:p>
      <w:pPr>
        <w:numPr>
          <w:ilvl w:val="0"/>
          <w:numId w:val="2"/>
        </w:numPr>
        <w:spacing w:line="600" w:lineRule="exact"/>
        <w:ind w:firstLine="640"/>
        <w:outlineLvl w:val="1"/>
        <w:rPr>
          <w:rStyle w:val="27"/>
          <w:rFonts w:ascii="黑体" w:hAnsi="黑体" w:eastAsia="黑体"/>
          <w:b w:val="0"/>
        </w:rPr>
      </w:pPr>
      <w:bookmarkStart w:id="44" w:name="_Toc15377219"/>
      <w:bookmarkStart w:id="45" w:name="_Toc15396611"/>
      <w:r>
        <w:rPr>
          <w:rStyle w:val="27"/>
          <w:rFonts w:hint="eastAsia" w:ascii="黑体" w:hAnsi="黑体" w:eastAsia="黑体"/>
          <w:b w:val="0"/>
        </w:rPr>
        <w:t>国有资本经营预算支出决算情况说明</w:t>
      </w:r>
      <w:bookmarkEnd w:id="44"/>
      <w:bookmarkEnd w:id="45"/>
    </w:p>
    <w:p>
      <w:pPr>
        <w:rPr>
          <w:rFonts w:ascii="方正小标宋简体" w:hAnsi="方正小标宋简体" w:eastAsia="方正小标宋简体" w:cs="方正小标宋简体"/>
          <w:sz w:val="44"/>
          <w:szCs w:val="44"/>
        </w:rPr>
      </w:pPr>
      <w:r>
        <w:rPr>
          <w:rFonts w:hint="eastAsia" w:ascii="仿宋_GB2312" w:hAnsi="Times New Roman" w:eastAsia="仿宋_GB2312" w:cs="Times New Roman"/>
          <w:color w:val="000000"/>
          <w:kern w:val="2"/>
          <w:sz w:val="28"/>
          <w:szCs w:val="28"/>
          <w:lang w:val="en-US" w:eastAsia="zh-CN" w:bidi="ar-SA"/>
        </w:rPr>
        <w:t xml:space="preserve"> </w:t>
      </w:r>
      <w:r>
        <w:rPr>
          <w:rFonts w:hint="eastAsia" w:ascii="仿宋_GB2312" w:eastAsia="仿宋_GB2312" w:cs="Times New Roman"/>
          <w:color w:val="000000"/>
          <w:kern w:val="2"/>
          <w:sz w:val="28"/>
          <w:szCs w:val="28"/>
          <w:lang w:val="en-US" w:eastAsia="zh-CN" w:bidi="ar-SA"/>
        </w:rPr>
        <w:t xml:space="preserve">    </w:t>
      </w:r>
      <w:r>
        <w:rPr>
          <w:rFonts w:hint="eastAsia" w:ascii="仿宋_GB2312" w:eastAsia="仿宋_GB2312"/>
          <w:color w:val="000000"/>
          <w:sz w:val="32"/>
          <w:szCs w:val="32"/>
          <w:lang w:val="en-US" w:eastAsia="zh-CN"/>
        </w:rPr>
        <w:t>2019年办公设备购置支出18.63万元，用于购置纪检监察专项设备。</w:t>
      </w:r>
    </w:p>
    <w:p>
      <w:pPr>
        <w:spacing w:line="600" w:lineRule="exact"/>
        <w:ind w:firstLine="800" w:firstLineChars="250"/>
        <w:outlineLvl w:val="1"/>
        <w:rPr>
          <w:rStyle w:val="27"/>
          <w:rFonts w:ascii="黑体" w:hAnsi="黑体" w:eastAsia="黑体"/>
        </w:rPr>
      </w:pPr>
      <w:bookmarkStart w:id="46" w:name="_Toc15377221"/>
      <w:bookmarkStart w:id="47" w:name="_Toc1539661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46"/>
      <w:bookmarkEnd w:id="47"/>
    </w:p>
    <w:p>
      <w:pPr>
        <w:spacing w:line="600" w:lineRule="exact"/>
        <w:ind w:firstLine="643" w:firstLineChars="200"/>
        <w:outlineLvl w:val="2"/>
        <w:rPr>
          <w:rFonts w:ascii="仿宋" w:hAnsi="仿宋" w:eastAsia="仿宋"/>
          <w:color w:val="000000"/>
          <w:sz w:val="32"/>
          <w:szCs w:val="32"/>
        </w:rPr>
      </w:pPr>
      <w:bookmarkStart w:id="48" w:name="_Toc15377222"/>
      <w:r>
        <w:rPr>
          <w:rFonts w:hint="eastAsia" w:ascii="仿宋" w:hAnsi="仿宋" w:eastAsia="仿宋"/>
          <w:b/>
          <w:color w:val="000000"/>
          <w:sz w:val="32"/>
          <w:szCs w:val="32"/>
        </w:rPr>
        <w:t>（一）机关运行经费支出情况</w:t>
      </w:r>
      <w:bookmarkEnd w:id="48"/>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中共红原县纪律检查委员会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639.53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194.47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43.69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人员经费</w:t>
      </w:r>
      <w:r>
        <w:rPr>
          <w:rFonts w:hint="eastAsia" w:ascii="仿宋_GB2312" w:eastAsia="仿宋_GB2312"/>
          <w:color w:val="000000"/>
          <w:sz w:val="32"/>
          <w:szCs w:val="32"/>
          <w:lang w:val="en-US" w:eastAsia="zh-CN"/>
        </w:rPr>
        <w:t>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9" w:name="_Toc15377223"/>
      <w:r>
        <w:rPr>
          <w:rFonts w:hint="eastAsia" w:ascii="仿宋" w:hAnsi="仿宋" w:eastAsia="仿宋"/>
          <w:b/>
          <w:color w:val="000000"/>
          <w:sz w:val="32"/>
          <w:szCs w:val="32"/>
        </w:rPr>
        <w:t>（二）政府采购支出情况</w:t>
      </w:r>
      <w:bookmarkEnd w:id="49"/>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红原县纪委</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18.6.</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18.63</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纪检监察专项设备购置</w:t>
      </w:r>
      <w:r>
        <w:rPr>
          <w:rFonts w:hint="eastAsia" w:ascii="仿宋_GB2312" w:eastAsia="仿宋_GB2312"/>
          <w:color w:val="000000"/>
          <w:sz w:val="32"/>
          <w:szCs w:val="32"/>
        </w:rPr>
        <w:t>。占政府采购支出总额的</w:t>
      </w:r>
      <w:r>
        <w:rPr>
          <w:rFonts w:hint="eastAsia" w:ascii="仿宋_GB2312" w:eastAsia="仿宋_GB2312"/>
          <w:color w:val="000000"/>
          <w:sz w:val="32"/>
          <w:szCs w:val="32"/>
          <w:lang w:val="en-US" w:eastAsia="zh-CN"/>
        </w:rPr>
        <w:t>18.63</w:t>
      </w:r>
      <w:r>
        <w:rPr>
          <w:rFonts w:ascii="仿宋_GB2312" w:eastAsia="仿宋_GB2312"/>
          <w:color w:val="000000"/>
          <w:sz w:val="32"/>
          <w:szCs w:val="32"/>
        </w:rPr>
        <w:t>%</w:t>
      </w:r>
      <w:r>
        <w:rPr>
          <w:rFonts w:hint="eastAsia" w:ascii="仿宋_GB2312" w:eastAsia="仿宋_GB2312"/>
          <w:color w:val="000000"/>
          <w:sz w:val="32"/>
          <w:szCs w:val="32"/>
        </w:rPr>
        <w:t>，占政府采购支出总额的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0" w:name="_Toc15377224"/>
      <w:r>
        <w:rPr>
          <w:rFonts w:hint="eastAsia" w:ascii="仿宋" w:hAnsi="仿宋" w:eastAsia="仿宋"/>
          <w:b/>
          <w:color w:val="000000"/>
          <w:sz w:val="32"/>
          <w:szCs w:val="32"/>
        </w:rPr>
        <w:t>（三）国有资产占有使用情况</w:t>
      </w:r>
      <w:bookmarkEnd w:id="50"/>
    </w:p>
    <w:p>
      <w:pPr>
        <w:autoSpaceDE w:val="0"/>
        <w:autoSpaceDN w:val="0"/>
        <w:adjustRightInd w:val="0"/>
        <w:spacing w:line="600" w:lineRule="exact"/>
        <w:ind w:firstLine="640" w:firstLineChars="200"/>
        <w:jc w:val="left"/>
        <w:rPr>
          <w:rFonts w:hint="default" w:ascii="仿宋" w:hAnsi="仿宋" w:eastAsia="仿宋"/>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中共红原县纪律检查委员会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4"/>
        <w:tblW w:w="9522" w:type="dxa"/>
        <w:jc w:val="center"/>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jc w:val="center"/>
        </w:trPr>
        <w:tc>
          <w:tcPr>
            <w:tcW w:w="9522" w:type="dxa"/>
            <w:gridSpan w:val="8"/>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15" w:type="dxa"/>
            <w:left w:w="15" w:type="dxa"/>
            <w:bottom w:w="15" w:type="dxa"/>
            <w:right w:w="15" w:type="dxa"/>
          </w:tblCellMar>
        </w:tblPrEx>
        <w:trPr>
          <w:trHeight w:val="282" w:hRule="atLeast"/>
          <w:jc w:val="center"/>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color w:val="000000"/>
                <w:sz w:val="24"/>
                <w:lang w:eastAsia="zh-CN"/>
              </w:rPr>
              <w:t>红原县纪委办案、巡察项目</w:t>
            </w:r>
          </w:p>
        </w:tc>
      </w:tr>
      <w:tr>
        <w:tblPrEx>
          <w:tblCellMar>
            <w:top w:w="15" w:type="dxa"/>
            <w:left w:w="15" w:type="dxa"/>
            <w:bottom w:w="15" w:type="dxa"/>
            <w:right w:w="15" w:type="dxa"/>
          </w:tblCellMar>
        </w:tblPrEx>
        <w:trPr>
          <w:trHeight w:val="299" w:hRule="atLeast"/>
          <w:jc w:val="center"/>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color w:val="000000"/>
                <w:sz w:val="24"/>
                <w:lang w:eastAsia="zh-CN"/>
              </w:rPr>
              <w:t>红原县纪委</w:t>
            </w:r>
          </w:p>
        </w:tc>
      </w:tr>
      <w:tr>
        <w:tblPrEx>
          <w:tblCellMar>
            <w:top w:w="15" w:type="dxa"/>
            <w:left w:w="15" w:type="dxa"/>
            <w:bottom w:w="15" w:type="dxa"/>
            <w:right w:w="15" w:type="dxa"/>
          </w:tblCellMar>
        </w:tblPrEx>
        <w:trPr>
          <w:trHeight w:val="285"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lang w:val="en-US" w:eastAsia="zh-CN"/>
              </w:rPr>
              <w:t>10</w:t>
            </w:r>
            <w:r>
              <w:rPr>
                <w:rFonts w:hint="eastAsia" w:ascii="宋体" w:hAnsi="宋体" w:cs="宋体"/>
                <w:b/>
                <w:color w:val="000000" w:themeColor="text1"/>
                <w:sz w:val="24"/>
              </w:rPr>
              <w:t>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lang w:val="en-US" w:eastAsia="zh-CN"/>
              </w:rPr>
              <w:t>81.32</w:t>
            </w:r>
            <w:r>
              <w:rPr>
                <w:rFonts w:hint="eastAsia" w:ascii="宋体" w:hAnsi="宋体" w:cs="宋体"/>
                <w:b/>
                <w:color w:val="000000" w:themeColor="text1"/>
                <w:sz w:val="24"/>
              </w:rPr>
              <w:t>万元</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lang w:val="en-US" w:eastAsia="zh-CN"/>
              </w:rPr>
              <w:t>10</w:t>
            </w:r>
            <w:r>
              <w:rPr>
                <w:rFonts w:hint="eastAsia" w:ascii="宋体" w:hAnsi="宋体" w:cs="宋体"/>
                <w:b/>
                <w:color w:val="000000" w:themeColor="text1"/>
                <w:sz w:val="24"/>
              </w:rPr>
              <w:t>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lang w:val="en-US" w:eastAsia="zh-CN"/>
              </w:rPr>
              <w:t>81.32</w:t>
            </w:r>
            <w:r>
              <w:rPr>
                <w:rFonts w:hint="eastAsia" w:ascii="宋体" w:hAnsi="宋体" w:cs="宋体"/>
                <w:b/>
                <w:color w:val="000000" w:themeColor="text1"/>
                <w:sz w:val="24"/>
              </w:rPr>
              <w:t>万元</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0</w:t>
            </w:r>
          </w:p>
        </w:tc>
      </w:tr>
      <w:tr>
        <w:tblPrEx>
          <w:tblCellMar>
            <w:top w:w="15" w:type="dxa"/>
            <w:left w:w="15" w:type="dxa"/>
            <w:bottom w:w="15" w:type="dxa"/>
            <w:right w:w="15" w:type="dxa"/>
          </w:tblCellMar>
        </w:tblPrEx>
        <w:trPr>
          <w:trHeight w:val="285"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实际完成目标</w:t>
            </w:r>
          </w:p>
        </w:tc>
      </w:tr>
      <w:tr>
        <w:tblPrEx>
          <w:tblCellMar>
            <w:top w:w="15" w:type="dxa"/>
            <w:left w:w="15" w:type="dxa"/>
            <w:bottom w:w="15" w:type="dxa"/>
            <w:right w:w="15" w:type="dxa"/>
          </w:tblCellMar>
        </w:tblPrEx>
        <w:trPr>
          <w:trHeight w:val="19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color w:val="000000"/>
                <w:sz w:val="24"/>
                <w:lang w:eastAsia="zh-CN"/>
              </w:rPr>
              <w:t>完成</w:t>
            </w:r>
            <w:r>
              <w:rPr>
                <w:rFonts w:hint="eastAsia" w:ascii="宋体" w:hAnsi="宋体" w:cs="宋体"/>
                <w:color w:val="000000"/>
                <w:sz w:val="24"/>
                <w:lang w:val="en-US" w:eastAsia="zh-CN"/>
              </w:rPr>
              <w:t>2019年度我委办案、巡察工作专项支出。</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4"/>
              </w:rPr>
            </w:pPr>
            <w:r>
              <w:rPr>
                <w:rFonts w:hint="eastAsia" w:ascii="宋体" w:hAnsi="宋体" w:cs="宋体"/>
                <w:color w:val="000000"/>
                <w:sz w:val="24"/>
                <w:lang w:eastAsia="zh-CN"/>
              </w:rPr>
              <w:t>完成</w:t>
            </w:r>
            <w:r>
              <w:rPr>
                <w:rFonts w:hint="eastAsia" w:ascii="宋体" w:hAnsi="宋体" w:cs="宋体"/>
                <w:color w:val="000000"/>
                <w:sz w:val="24"/>
                <w:lang w:val="en-US" w:eastAsia="zh-CN"/>
              </w:rPr>
              <w:t>2019年度我委办案、巡察工作专项支出，完成1件移送司法案件查办专项支出。</w:t>
            </w:r>
          </w:p>
        </w:tc>
      </w:tr>
      <w:tr>
        <w:tblPrEx>
          <w:tblCellMar>
            <w:top w:w="15" w:type="dxa"/>
            <w:left w:w="15" w:type="dxa"/>
            <w:bottom w:w="15" w:type="dxa"/>
            <w:right w:w="15" w:type="dxa"/>
          </w:tblCellMar>
        </w:tblPrEx>
        <w:trPr>
          <w:trHeight w:val="624"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 w:val="24"/>
              </w:rPr>
            </w:pPr>
            <w:r>
              <w:rPr>
                <w:rFonts w:hint="eastAsia" w:ascii="仿宋_GB2312" w:hAnsi="宋体" w:eastAsia="仿宋_GB2312" w:cs="仿宋_GB2312"/>
                <w:color w:val="000000" w:themeColor="text1"/>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实际完成指标值(包含数字及文字描述)</w:t>
            </w:r>
          </w:p>
        </w:tc>
      </w:tr>
      <w:tr>
        <w:tblPrEx>
          <w:tblCellMar>
            <w:top w:w="15" w:type="dxa"/>
            <w:left w:w="15" w:type="dxa"/>
            <w:bottom w:w="15" w:type="dxa"/>
            <w:right w:w="15" w:type="dxa"/>
          </w:tblCellMar>
        </w:tblPrEx>
        <w:trPr>
          <w:trHeight w:val="624"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r>
      <w:tr>
        <w:tblPrEx>
          <w:tblCellMar>
            <w:top w:w="15" w:type="dxa"/>
            <w:left w:w="15" w:type="dxa"/>
            <w:bottom w:w="15" w:type="dxa"/>
            <w:right w:w="15" w:type="dxa"/>
          </w:tblCellMar>
        </w:tblPrEx>
        <w:trPr>
          <w:trHeight w:val="624"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sz w:val="24"/>
                <w:lang w:eastAsia="zh-CN"/>
              </w:rPr>
              <w:t>完成</w:t>
            </w:r>
            <w:r>
              <w:rPr>
                <w:rFonts w:hint="eastAsia" w:ascii="宋体" w:hAnsi="宋体" w:cs="宋体"/>
                <w:color w:val="000000"/>
                <w:sz w:val="24"/>
                <w:lang w:val="en-US" w:eastAsia="zh-CN"/>
              </w:rPr>
              <w:t>2019年办案、巡察工作。</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4"/>
                <w:lang w:val="en-US" w:eastAsia="zh-CN"/>
              </w:rPr>
              <w:t>81.32</w:t>
            </w:r>
            <w:r>
              <w:rPr>
                <w:rFonts w:hint="eastAsia" w:ascii="宋体" w:hAnsi="宋体" w:cs="宋体"/>
                <w:color w:val="000000" w:themeColor="text1"/>
                <w:kern w:val="0"/>
                <w:sz w:val="24"/>
              </w:rPr>
              <w:t>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4"/>
                <w:lang w:val="en-US" w:eastAsia="zh-CN"/>
              </w:rPr>
              <w:t>81.32</w:t>
            </w:r>
            <w:r>
              <w:rPr>
                <w:rFonts w:hint="eastAsia" w:ascii="宋体" w:hAnsi="宋体" w:cs="宋体"/>
                <w:color w:val="000000" w:themeColor="text1"/>
                <w:kern w:val="0"/>
                <w:sz w:val="24"/>
              </w:rPr>
              <w:t>万元</w:t>
            </w:r>
          </w:p>
        </w:tc>
      </w:tr>
      <w:tr>
        <w:tblPrEx>
          <w:tblCellMar>
            <w:top w:w="15" w:type="dxa"/>
            <w:left w:w="15" w:type="dxa"/>
            <w:bottom w:w="15" w:type="dxa"/>
            <w:right w:w="15" w:type="dxa"/>
          </w:tblCellMar>
        </w:tblPrEx>
        <w:trPr>
          <w:trHeight w:val="64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一年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已完成</w:t>
            </w: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符合</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tcBorders>
              <w:top w:val="single" w:color="auto"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实施规划</w:t>
            </w:r>
          </w:p>
        </w:tc>
        <w:tc>
          <w:tcPr>
            <w:tcW w:w="2934" w:type="dxa"/>
            <w:gridSpan w:val="2"/>
            <w:tcBorders>
              <w:top w:val="single" w:color="auto"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auto"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已制定</w:t>
            </w:r>
          </w:p>
        </w:tc>
      </w:tr>
      <w:tr>
        <w:tblPrEx>
          <w:tblCellMar>
            <w:top w:w="15" w:type="dxa"/>
            <w:left w:w="15" w:type="dxa"/>
            <w:bottom w:w="15" w:type="dxa"/>
            <w:right w:w="15" w:type="dxa"/>
          </w:tblCellMar>
        </w:tblPrEx>
        <w:trPr>
          <w:trHeight w:val="82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 xml:space="preserve">是 </w:t>
            </w:r>
          </w:p>
        </w:tc>
      </w:tr>
      <w:tr>
        <w:tblPrEx>
          <w:tblCellMar>
            <w:top w:w="15" w:type="dxa"/>
            <w:left w:w="15" w:type="dxa"/>
            <w:bottom w:w="15" w:type="dxa"/>
            <w:right w:w="15" w:type="dxa"/>
          </w:tblCellMar>
        </w:tblPrEx>
        <w:trPr>
          <w:trHeight w:val="54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州级主管部门按规定及时分配资金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115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7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7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themeColor="text1"/>
                <w:sz w:val="20"/>
                <w:szCs w:val="20"/>
                <w:lang w:val="en-US" w:eastAsia="zh-CN"/>
              </w:rPr>
            </w:pPr>
            <w:r>
              <w:rPr>
                <w:rFonts w:hint="eastAsia" w:ascii="宋体" w:hAnsi="宋体" w:cs="宋体"/>
                <w:color w:val="000000" w:themeColor="text1"/>
                <w:sz w:val="20"/>
                <w:szCs w:val="20"/>
                <w:lang w:eastAsia="zh-CN"/>
              </w:rPr>
              <w:t>为国家、人民群众挽回损失</w:t>
            </w:r>
            <w:r>
              <w:rPr>
                <w:rFonts w:hint="eastAsia" w:ascii="宋体" w:hAnsi="宋体" w:cs="宋体"/>
                <w:color w:val="000000" w:themeColor="text1"/>
                <w:sz w:val="20"/>
                <w:szCs w:val="20"/>
                <w:lang w:val="en-US" w:eastAsia="zh-CN"/>
              </w:rPr>
              <w:t>68.29万元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cs="宋体"/>
                <w:color w:val="000000" w:themeColor="text1"/>
                <w:sz w:val="20"/>
                <w:szCs w:val="20"/>
                <w:lang w:val="en-US"/>
              </w:rPr>
            </w:pPr>
            <w:r>
              <w:rPr>
                <w:rFonts w:hint="eastAsia" w:ascii="宋体" w:hAnsi="宋体" w:cs="宋体"/>
                <w:color w:val="000000" w:themeColor="text1"/>
                <w:sz w:val="20"/>
                <w:szCs w:val="20"/>
                <w:lang w:eastAsia="zh-CN"/>
              </w:rPr>
              <w:t>为国家、人民群众挽回损失</w:t>
            </w:r>
            <w:r>
              <w:rPr>
                <w:rFonts w:hint="eastAsia" w:ascii="宋体" w:hAnsi="宋体" w:cs="宋体"/>
                <w:color w:val="000000" w:themeColor="text1"/>
                <w:sz w:val="20"/>
                <w:szCs w:val="20"/>
                <w:lang w:val="en-US" w:eastAsia="zh-CN"/>
              </w:rPr>
              <w:t>68.29万元。</w:t>
            </w:r>
          </w:p>
        </w:tc>
      </w:tr>
      <w:tr>
        <w:tblPrEx>
          <w:tblCellMar>
            <w:top w:w="15" w:type="dxa"/>
            <w:left w:w="15" w:type="dxa"/>
            <w:bottom w:w="15" w:type="dxa"/>
            <w:right w:w="15" w:type="dxa"/>
          </w:tblCellMar>
        </w:tblPrEx>
        <w:trPr>
          <w:trHeight w:val="7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sz w:val="24"/>
                <w:lang w:eastAsia="zh-CN"/>
              </w:rPr>
              <w:t>完成</w:t>
            </w:r>
            <w:r>
              <w:rPr>
                <w:rFonts w:hint="eastAsia" w:ascii="宋体" w:hAnsi="宋体" w:cs="宋体"/>
                <w:color w:val="000000"/>
                <w:sz w:val="24"/>
                <w:lang w:val="en-US" w:eastAsia="zh-CN"/>
              </w:rPr>
              <w:t>2019年办案、巡察工作。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sz w:val="24"/>
                <w:lang w:eastAsia="zh-CN"/>
              </w:rPr>
              <w:t>完成</w:t>
            </w:r>
            <w:r>
              <w:rPr>
                <w:rFonts w:hint="eastAsia" w:ascii="宋体" w:hAnsi="宋体" w:cs="宋体"/>
                <w:color w:val="000000"/>
                <w:sz w:val="24"/>
                <w:lang w:val="en-US" w:eastAsia="zh-CN"/>
              </w:rPr>
              <w:t>2019年度我委办案、巡察工作专项支出，完成1件移送司法案件查办专项支出。</w:t>
            </w:r>
          </w:p>
        </w:tc>
      </w:tr>
      <w:tr>
        <w:tblPrEx>
          <w:tblCellMar>
            <w:top w:w="15" w:type="dxa"/>
            <w:left w:w="15" w:type="dxa"/>
            <w:bottom w:w="15" w:type="dxa"/>
            <w:right w:w="15" w:type="dxa"/>
          </w:tblCellMar>
        </w:tblPrEx>
        <w:trPr>
          <w:trHeight w:val="108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满意</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红原县纪委</w:t>
      </w:r>
      <w:r>
        <w:rPr>
          <w:rFonts w:hint="eastAsia" w:ascii="仿宋_GB2312" w:hAnsi="仿宋_GB2312" w:eastAsia="仿宋_GB2312" w:cs="仿宋_GB2312"/>
          <w:sz w:val="32"/>
          <w:szCs w:val="32"/>
        </w:rPr>
        <w:t>部门2019年部门整体支出绩效评价报告》见附件（附件1）。</w:t>
      </w:r>
    </w:p>
    <w:p>
      <w:pPr>
        <w:numPr>
          <w:ilvl w:val="0"/>
          <w:numId w:val="3"/>
        </w:numPr>
        <w:spacing w:line="600" w:lineRule="exact"/>
        <w:ind w:firstLine="660" w:firstLineChars="150"/>
        <w:jc w:val="center"/>
        <w:outlineLvl w:val="0"/>
        <w:rPr>
          <w:rStyle w:val="26"/>
          <w:rFonts w:ascii="黑体" w:hAnsi="黑体" w:eastAsia="黑体"/>
          <w:b w:val="0"/>
        </w:rPr>
      </w:pPr>
      <w:bookmarkStart w:id="51" w:name="_Toc15396613"/>
      <w:bookmarkStart w:id="52"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51"/>
      <w:bookmarkEnd w:id="52"/>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纪检监察事务</w:t>
      </w:r>
      <w:r>
        <w:rPr>
          <w:rFonts w:hint="eastAsia" w:ascii="仿宋_GB2312" w:eastAsia="仿宋_GB2312"/>
          <w:color w:val="auto"/>
          <w:sz w:val="32"/>
          <w:szCs w:val="32"/>
        </w:rPr>
        <w:t>：</w:t>
      </w:r>
      <w:r>
        <w:rPr>
          <w:rFonts w:hint="eastAsia" w:ascii="仿宋_GB2312" w:eastAsia="仿宋_GB2312"/>
          <w:color w:val="auto"/>
          <w:sz w:val="32"/>
          <w:szCs w:val="32"/>
          <w:lang w:eastAsia="zh-CN"/>
        </w:rPr>
        <w:t>反映纪检、监察方面的支出</w:t>
      </w:r>
      <w:r>
        <w:rPr>
          <w:rFonts w:hint="eastAsia" w:ascii="仿宋_GB2312" w:eastAsia="仿宋_GB2312"/>
          <w:color w:val="auto"/>
          <w:sz w:val="32"/>
          <w:szCs w:val="32"/>
        </w:rPr>
        <w:t>。</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color w:val="auto"/>
          <w:sz w:val="32"/>
          <w:szCs w:val="32"/>
          <w:lang w:val="en-US" w:eastAsia="zh-CN"/>
        </w:rPr>
        <w:t>10.行政运行：</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11.一般行政运行管理事务：反映行政单位未单独设置项级科目的其他项目支出。</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12</w:t>
      </w:r>
      <w:r>
        <w:rPr>
          <w:rFonts w:ascii="仿宋_GB2312" w:eastAsia="仿宋_GB2312"/>
          <w:color w:val="auto"/>
          <w:sz w:val="32"/>
          <w:szCs w:val="32"/>
        </w:rPr>
        <w:t>.</w:t>
      </w:r>
      <w:r>
        <w:rPr>
          <w:rFonts w:hint="eastAsia" w:ascii="仿宋_GB2312" w:eastAsia="仿宋_GB2312"/>
          <w:color w:val="auto"/>
          <w:sz w:val="32"/>
          <w:szCs w:val="32"/>
          <w:lang w:eastAsia="zh-CN"/>
        </w:rPr>
        <w:t>机关事业单位基本养老保险支出：反映职工养老保险支出（</w:t>
      </w:r>
      <w:r>
        <w:rPr>
          <w:rFonts w:hint="eastAsia" w:ascii="仿宋_GB2312" w:eastAsia="仿宋_GB2312"/>
          <w:color w:val="auto"/>
          <w:sz w:val="32"/>
          <w:szCs w:val="32"/>
          <w:lang w:val="en-US" w:eastAsia="zh-CN"/>
        </w:rPr>
        <w:t>2080505</w:t>
      </w:r>
      <w:r>
        <w:rPr>
          <w:rFonts w:hint="eastAsia" w:ascii="仿宋_GB2312" w:eastAsia="仿宋_GB2312"/>
          <w:color w:val="auto"/>
          <w:sz w:val="32"/>
          <w:szCs w:val="32"/>
          <w:lang w:eastAsia="zh-CN"/>
        </w:rPr>
        <w:t>）</w:t>
      </w:r>
      <w:r>
        <w:rPr>
          <w:rFonts w:hint="eastAsia" w:ascii="仿宋_GB2312" w:eastAsia="仿宋_GB2312"/>
          <w:color w:val="auto"/>
          <w:sz w:val="32"/>
          <w:szCs w:val="32"/>
        </w:rPr>
        <w:t>。</w:t>
      </w:r>
    </w:p>
    <w:p>
      <w:pPr>
        <w:pStyle w:val="2"/>
        <w:ind w:left="0" w:leftChars="0" w:firstLine="640" w:firstLineChars="200"/>
        <w:rPr>
          <w:rFonts w:hint="eastAsia" w:ascii="仿宋_GB2312" w:eastAsia="仿宋_GB2312"/>
          <w:color w:val="auto"/>
          <w:sz w:val="32"/>
          <w:szCs w:val="32"/>
          <w:lang w:val="en-US" w:eastAsia="zh-CN"/>
        </w:rPr>
      </w:pPr>
      <w:r>
        <w:rPr>
          <w:rFonts w:hint="eastAsia"/>
          <w:color w:val="auto"/>
          <w:sz w:val="32"/>
          <w:szCs w:val="32"/>
          <w:lang w:val="en-US" w:eastAsia="zh-CN"/>
        </w:rPr>
        <w:t>13.</w:t>
      </w:r>
      <w:r>
        <w:rPr>
          <w:rFonts w:hint="eastAsia" w:ascii="仿宋_GB2312" w:eastAsia="仿宋_GB2312"/>
          <w:color w:val="auto"/>
          <w:sz w:val="32"/>
          <w:szCs w:val="32"/>
          <w:lang w:val="en-US" w:eastAsia="zh-CN"/>
        </w:rPr>
        <w:t>机关事业单位职业年金缴费支出：反映行政事业单位职业年金支出</w:t>
      </w:r>
      <w:r>
        <w:rPr>
          <w:rFonts w:hint="eastAsia"/>
          <w:color w:val="auto"/>
          <w:sz w:val="32"/>
          <w:szCs w:val="32"/>
          <w:lang w:val="en-US" w:eastAsia="zh-CN"/>
        </w:rPr>
        <w:t>（2080506）</w:t>
      </w:r>
      <w:r>
        <w:rPr>
          <w:rFonts w:hint="eastAsia" w:ascii="仿宋_GB2312" w:eastAsia="仿宋_GB2312"/>
          <w:color w:val="auto"/>
          <w:sz w:val="32"/>
          <w:szCs w:val="32"/>
          <w:lang w:val="en-US" w:eastAsia="zh-CN"/>
        </w:rPr>
        <w:t>。</w:t>
      </w:r>
    </w:p>
    <w:p>
      <w:pPr>
        <w:pStyle w:val="2"/>
        <w:ind w:left="0" w:leftChars="0"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w:t>
      </w:r>
      <w:r>
        <w:rPr>
          <w:rFonts w:hint="eastAsia"/>
          <w:color w:val="auto"/>
          <w:sz w:val="32"/>
          <w:szCs w:val="32"/>
          <w:lang w:val="en-US" w:eastAsia="zh-CN"/>
        </w:rPr>
        <w:t>4.</w:t>
      </w:r>
      <w:r>
        <w:rPr>
          <w:rFonts w:hint="eastAsia" w:ascii="仿宋_GB2312" w:eastAsia="仿宋_GB2312"/>
          <w:color w:val="auto"/>
          <w:sz w:val="32"/>
          <w:szCs w:val="32"/>
          <w:lang w:val="en-US" w:eastAsia="zh-CN"/>
        </w:rPr>
        <w:t>死亡抚恤：反映按规定用于烈士和牺牲、病故人员家属的一次性抚恤金以及丧葬补助费。</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15.</w:t>
      </w:r>
      <w:r>
        <w:rPr>
          <w:rFonts w:hint="eastAsia" w:ascii="仿宋_GB2312" w:eastAsia="仿宋_GB2312"/>
          <w:color w:val="auto"/>
          <w:sz w:val="32"/>
          <w:szCs w:val="32"/>
          <w:lang w:eastAsia="zh-CN"/>
        </w:rPr>
        <w:t>行政单位医疗（</w:t>
      </w:r>
      <w:r>
        <w:rPr>
          <w:rFonts w:hint="eastAsia" w:ascii="仿宋_GB2312" w:eastAsia="仿宋_GB2312"/>
          <w:color w:val="auto"/>
          <w:sz w:val="32"/>
          <w:szCs w:val="32"/>
          <w:lang w:val="en-US" w:eastAsia="zh-CN"/>
        </w:rPr>
        <w:t>2101101</w:t>
      </w:r>
      <w:r>
        <w:rPr>
          <w:rFonts w:hint="eastAsia" w:ascii="仿宋_GB2312" w:eastAsia="仿宋_GB2312"/>
          <w:color w:val="auto"/>
          <w:sz w:val="32"/>
          <w:szCs w:val="32"/>
          <w:lang w:eastAsia="zh-CN"/>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反映行政单位医疗保险支出</w:t>
      </w:r>
      <w:r>
        <w:rPr>
          <w:rFonts w:hint="eastAsia" w:ascii="仿宋_GB2312" w:eastAsia="仿宋_GB2312"/>
          <w:color w:val="auto"/>
          <w:sz w:val="32"/>
          <w:szCs w:val="32"/>
        </w:rPr>
        <w:t>。</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16.公务员医疗补助（2101103）</w:t>
      </w:r>
      <w:r>
        <w:rPr>
          <w:rFonts w:hint="eastAsia" w:ascii="仿宋_GB2312" w:eastAsia="仿宋_GB2312"/>
          <w:color w:val="auto"/>
          <w:sz w:val="32"/>
          <w:szCs w:val="32"/>
          <w:lang w:eastAsia="zh-CN"/>
        </w:rPr>
        <w:t>：反映行政单位公务员医疗补助支出。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hint="eastAsia" w:ascii="仿宋_GB2312" w:eastAsia="仿宋_GB2312"/>
          <w:color w:val="auto"/>
          <w:sz w:val="32"/>
          <w:szCs w:val="32"/>
          <w:lang w:eastAsia="zh-CN"/>
        </w:rPr>
        <w:t>住房公积金（</w:t>
      </w:r>
      <w:r>
        <w:rPr>
          <w:rFonts w:hint="eastAsia" w:ascii="仿宋_GB2312" w:eastAsia="仿宋_GB2312"/>
          <w:color w:val="auto"/>
          <w:sz w:val="32"/>
          <w:szCs w:val="32"/>
          <w:lang w:val="en-US" w:eastAsia="zh-CN"/>
        </w:rPr>
        <w:t>2210201</w:t>
      </w:r>
      <w:bookmarkStart w:id="69" w:name="_GoBack"/>
      <w:bookmarkEnd w:id="69"/>
      <w:r>
        <w:rPr>
          <w:rFonts w:hint="eastAsia" w:ascii="仿宋_GB2312" w:eastAsia="仿宋_GB2312"/>
          <w:color w:val="auto"/>
          <w:sz w:val="32"/>
          <w:szCs w:val="32"/>
          <w:lang w:eastAsia="zh-CN"/>
        </w:rPr>
        <w:t>）：反映行政事业单位按人力资源和社会保障部、财政部规定的基本工资和津贴补贴以及规定比例为职工缴纳的住房公积金。</w:t>
      </w:r>
    </w:p>
    <w:p>
      <w:pPr>
        <w:pStyle w:val="2"/>
        <w:ind w:left="0" w:leftChars="0" w:firstLine="640" w:firstLineChars="200"/>
        <w:rPr>
          <w:rFonts w:hint="default" w:eastAsia="仿宋_GB2312"/>
          <w:lang w:val="en-US" w:eastAsia="zh-CN"/>
        </w:rPr>
      </w:pPr>
      <w:r>
        <w:rPr>
          <w:rFonts w:hint="eastAsia" w:ascii="仿宋_GB2312" w:eastAsia="仿宋_GB2312"/>
          <w:color w:val="auto"/>
          <w:sz w:val="32"/>
          <w:szCs w:val="32"/>
          <w:lang w:val="en-US" w:eastAsia="zh-CN"/>
        </w:rPr>
        <w:t>1</w:t>
      </w:r>
      <w:r>
        <w:rPr>
          <w:rFonts w:hint="eastAsia"/>
          <w:color w:val="auto"/>
          <w:sz w:val="32"/>
          <w:szCs w:val="32"/>
          <w:lang w:val="en-US" w:eastAsia="zh-CN"/>
        </w:rPr>
        <w:t>8</w:t>
      </w:r>
      <w:r>
        <w:rPr>
          <w:rFonts w:hint="eastAsia" w:ascii="仿宋_GB2312" w:eastAsia="仿宋_GB2312"/>
          <w:color w:val="auto"/>
          <w:sz w:val="32"/>
          <w:szCs w:val="32"/>
          <w:lang w:val="en-US" w:eastAsia="zh-CN"/>
        </w:rPr>
        <w:t>.对个人和家庭的补助：反映政府用于对个人和家庭的补助支出。</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19.</w:t>
      </w:r>
      <w:r>
        <w:rPr>
          <w:rFonts w:hint="eastAsia" w:ascii="仿宋_GB2312" w:eastAsia="仿宋_GB2312"/>
          <w:color w:val="auto"/>
          <w:sz w:val="32"/>
          <w:szCs w:val="32"/>
        </w:rPr>
        <w:t>“三公”经费：</w:t>
      </w:r>
      <w:r>
        <w:rPr>
          <w:rFonts w:hint="eastAsia" w:ascii="仿宋_GB2312" w:eastAsia="仿宋_GB2312"/>
          <w:color w:val="auto"/>
          <w:sz w:val="32"/>
          <w:szCs w:val="32"/>
          <w:lang w:eastAsia="zh-CN"/>
        </w:rPr>
        <w:t>反映</w:t>
      </w:r>
      <w:r>
        <w:rPr>
          <w:rFonts w:hint="eastAsia" w:ascii="仿宋_GB2312" w:eastAsia="仿宋_GB2312"/>
          <w:color w:val="auto"/>
          <w:sz w:val="32"/>
          <w:szCs w:val="32"/>
        </w:rPr>
        <w:t>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color w:val="auto"/>
          <w:sz w:val="32"/>
          <w:szCs w:val="32"/>
          <w:lang w:val="en-US" w:eastAsia="zh-CN"/>
        </w:rPr>
        <w:t>20.</w:t>
      </w:r>
      <w:r>
        <w:rPr>
          <w:rFonts w:hint="eastAsia" w:ascii="仿宋_GB2312" w:eastAsia="仿宋_GB2312"/>
          <w:color w:val="auto"/>
          <w:sz w:val="32"/>
          <w:szCs w:val="32"/>
        </w:rPr>
        <w:t>机关运行经费：</w:t>
      </w:r>
      <w:r>
        <w:rPr>
          <w:rFonts w:hint="eastAsia" w:ascii="仿宋_GB2312" w:eastAsia="仿宋_GB2312"/>
          <w:color w:val="auto"/>
          <w:sz w:val="32"/>
          <w:szCs w:val="32"/>
          <w:lang w:eastAsia="zh-CN"/>
        </w:rPr>
        <w:t>反映</w:t>
      </w:r>
      <w:r>
        <w:rPr>
          <w:rFonts w:hint="eastAsia" w:ascii="仿宋_GB2312" w:eastAsia="仿宋_GB2312"/>
          <w:color w:val="auto"/>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sz w:val="32"/>
          <w:szCs w:val="32"/>
        </w:rPr>
      </w:pPr>
    </w:p>
    <w:p>
      <w:pPr>
        <w:spacing w:line="600" w:lineRule="exact"/>
        <w:jc w:val="center"/>
        <w:outlineLvl w:val="0"/>
        <w:rPr>
          <w:rStyle w:val="26"/>
          <w:rFonts w:ascii="黑体" w:hAnsi="黑体" w:eastAsia="黑体"/>
          <w:b w:val="0"/>
        </w:rPr>
      </w:pPr>
      <w:bookmarkStart w:id="53" w:name="_Toc15396614"/>
      <w:bookmarkStart w:id="54" w:name="_Toc15377226"/>
      <w:r>
        <w:rPr>
          <w:rFonts w:hint="eastAsia" w:ascii="黑体" w:hAnsi="黑体" w:eastAsia="黑体"/>
          <w:color w:val="000000"/>
          <w:sz w:val="44"/>
          <w:szCs w:val="44"/>
        </w:rPr>
        <w:t>第</w:t>
      </w:r>
      <w:r>
        <w:rPr>
          <w:rStyle w:val="26"/>
          <w:rFonts w:hint="eastAsia" w:ascii="黑体" w:hAnsi="黑体" w:eastAsia="黑体"/>
          <w:b w:val="0"/>
        </w:rPr>
        <w:t>四部分 附件</w:t>
      </w:r>
      <w:bookmarkEnd w:id="53"/>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红原县纪委</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zh-CN" w:eastAsia="zh-CN" w:bidi="ar-SA"/>
        </w:rPr>
        <w:t>（一）机构组成。</w:t>
      </w:r>
    </w:p>
    <w:p>
      <w:pPr>
        <w:spacing w:line="57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红原</w:t>
      </w:r>
      <w:r>
        <w:rPr>
          <w:rFonts w:hint="eastAsia" w:ascii="仿宋_GB2312" w:eastAsia="仿宋_GB2312"/>
          <w:sz w:val="32"/>
          <w:szCs w:val="32"/>
        </w:rPr>
        <w:t>县纪委监委</w:t>
      </w:r>
      <w:r>
        <w:rPr>
          <w:rFonts w:hint="eastAsia" w:ascii="仿宋_GB2312" w:eastAsia="仿宋_GB2312"/>
          <w:sz w:val="32"/>
          <w:szCs w:val="32"/>
          <w:lang w:eastAsia="zh-CN"/>
        </w:rPr>
        <w:t>、巡察办</w:t>
      </w:r>
      <w:r>
        <w:rPr>
          <w:rFonts w:hint="eastAsia" w:ascii="仿宋_GB2312" w:eastAsia="仿宋_GB2312"/>
          <w:sz w:val="32"/>
          <w:szCs w:val="32"/>
          <w:lang w:val="en-US" w:eastAsia="zh-CN"/>
        </w:rPr>
        <w:t>2019年</w:t>
      </w:r>
      <w:r>
        <w:rPr>
          <w:rFonts w:hint="eastAsia" w:ascii="仿宋_GB2312" w:eastAsia="仿宋_GB2312"/>
          <w:sz w:val="32"/>
          <w:szCs w:val="32"/>
          <w:lang w:eastAsia="zh-CN"/>
        </w:rPr>
        <w:t>公务员编制</w:t>
      </w:r>
      <w:r>
        <w:rPr>
          <w:rFonts w:hint="eastAsia" w:ascii="仿宋_GB2312" w:eastAsia="仿宋_GB2312"/>
          <w:sz w:val="32"/>
          <w:szCs w:val="32"/>
          <w:lang w:val="en-US" w:eastAsia="zh-CN"/>
        </w:rPr>
        <w:t>47人，工勤编制2人</w:t>
      </w:r>
      <w:r>
        <w:rPr>
          <w:rFonts w:hint="eastAsia" w:ascii="仿宋_GB2312" w:eastAsia="仿宋_GB2312"/>
          <w:sz w:val="32"/>
          <w:szCs w:val="32"/>
        </w:rPr>
        <w:t>。</w:t>
      </w:r>
      <w:r>
        <w:rPr>
          <w:rFonts w:hint="eastAsia" w:ascii="仿宋_GB2312" w:eastAsia="仿宋_GB2312"/>
          <w:sz w:val="32"/>
          <w:szCs w:val="32"/>
          <w:lang w:eastAsia="zh-CN"/>
        </w:rPr>
        <w:t>年末在职公务员</w:t>
      </w:r>
      <w:r>
        <w:rPr>
          <w:rFonts w:hint="eastAsia" w:ascii="仿宋_GB2312" w:eastAsia="仿宋_GB2312"/>
          <w:sz w:val="32"/>
          <w:szCs w:val="32"/>
          <w:lang w:val="en-US" w:eastAsia="zh-CN"/>
        </w:rPr>
        <w:t>42人，工勤4人</w:t>
      </w:r>
      <w:r>
        <w:rPr>
          <w:rFonts w:hint="eastAsia" w:ascii="仿宋_GB2312" w:eastAsia="仿宋_GB2312"/>
          <w:sz w:val="32"/>
          <w:szCs w:val="32"/>
        </w:rPr>
        <w:t>。</w:t>
      </w:r>
    </w:p>
    <w:p>
      <w:pPr>
        <w:ind w:firstLine="640" w:firstLineChars="200"/>
        <w:rPr>
          <w:rFonts w:hint="eastAsia"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en-US" w:eastAsia="zh-CN" w:bidi="ar-SA"/>
        </w:rPr>
        <w:t>办公室。负责县纪委监委日常运转工作。负责筹备重要会议、活动；组织起草县纪委监委有关文件文稿；负责纪委监委机关干部和派驻机构日常管理和监督工作。</w:t>
      </w:r>
    </w:p>
    <w:p>
      <w:pPr>
        <w:ind w:firstLine="640" w:firstLineChars="200"/>
        <w:rPr>
          <w:rFonts w:hint="eastAsia"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en-US" w:eastAsia="zh-CN" w:bidi="ar-SA"/>
        </w:rPr>
        <w:t>党风政风监督室。负责综合协调贯彻执行党的路线方针和决策、国家法律法规等情况的监督检查，组织协调重要监督活动，负责汇总党风廉政建设和反腐败工作情况。</w:t>
      </w:r>
    </w:p>
    <w:p>
      <w:pPr>
        <w:ind w:firstLine="640" w:firstLineChars="200"/>
        <w:rPr>
          <w:rFonts w:hint="eastAsia"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en-US" w:eastAsia="zh-CN" w:bidi="ar-SA"/>
        </w:rPr>
        <w:t>信访室。负责受理党组织、党员违反党纪行为，对监督对象不依法履职，违反秉公用权、廉洁从政从业及道德操守等规定，涉嫌职务违法、职务负责行为的检举控告。</w:t>
      </w:r>
    </w:p>
    <w:p>
      <w:pPr>
        <w:ind w:firstLine="640" w:firstLineChars="200"/>
        <w:rPr>
          <w:rFonts w:hint="eastAsia"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en-US" w:eastAsia="zh-CN" w:bidi="ar-SA"/>
        </w:rPr>
        <w:t>案件监督管理室。负责对监督检查、审查调查工作全过程监督管理，履行线索管理、组织协调、监督检查、督促办理、统计分析职责。（第一至第四纪检监察室。负责监督检查的纪检监察室主要履行依法监督的职责。</w:t>
      </w:r>
    </w:p>
    <w:p>
      <w:pPr>
        <w:ind w:firstLine="640" w:firstLineChars="200"/>
        <w:rPr>
          <w:rFonts w:hint="eastAsia"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en-US" w:eastAsia="zh-CN" w:bidi="ar-SA"/>
        </w:rPr>
        <w:t>案件审理室。负责审理纪委监委机关直接审查调查和在县级党组织、纪检监察机关报批或备案的违反党纪和职务违法、职务犯罪案件，严格依规依纪提出处理或者处分意见。</w:t>
      </w:r>
    </w:p>
    <w:p>
      <w:pPr>
        <w:ind w:firstLine="640" w:firstLineChars="200"/>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en-US" w:eastAsia="zh-CN" w:bidi="ar-SA"/>
        </w:rPr>
        <w:t>纪检监察干部监督室。负责监督检查全县纪检监察系统干部遵守和执行党的章程和其他党内法规、党的路线方针政策和决议、国家法律法规等方面的情况。</w:t>
      </w:r>
    </w:p>
    <w:p>
      <w:pPr>
        <w:widowControl/>
        <w:numPr>
          <w:ilvl w:val="0"/>
          <w:numId w:val="4"/>
        </w:numPr>
        <w:adjustRightInd w:val="0"/>
        <w:snapToGrid w:val="0"/>
        <w:spacing w:line="580" w:lineRule="exact"/>
        <w:ind w:firstLine="640" w:firstLineChars="200"/>
        <w:contextualSpacing/>
        <w:jc w:val="left"/>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zh-CN" w:eastAsia="zh-CN" w:bidi="ar-SA"/>
        </w:rPr>
        <w:t>机构职能。</w:t>
      </w:r>
    </w:p>
    <w:p>
      <w:pPr>
        <w:spacing w:line="576" w:lineRule="exact"/>
        <w:ind w:firstLine="640" w:firstLineChars="200"/>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en-US" w:eastAsia="zh-CN" w:bidi="ar-SA"/>
        </w:rPr>
        <w:t xml:space="preserve">（一）负责全县党的纪律检查工作。（二）依照党的章程和其他党内法规履行监督、执纪、问责职责。（三)负责全县监察工作。（四)依照法律规定履行监督、调查、处置职责。(五)负责组织协调全面从严治党、党风廉政建设和反腐败宣传教育工作。(六)负责综合分析全面从严治党、党风廉政建设和反腐败工作情况，对纪检监察工作重要理论及实践问题进行调查研究参与起草我县规范性文件。(七)在州纪委监委的领导下，加强对反腐败国际追逃追赃和防逃工作的组织协调，督促有关部门做好相关工作。(八)根据干部管理权限，负责纪检监察系统领导班子建设干部队伍建设和组织建设的综合规划、政策研究、制度建设和业务指导。(九)完成县委和州纪委监委交办的其他任务 </w:t>
      </w:r>
    </w:p>
    <w:p>
      <w:pPr>
        <w:widowControl/>
        <w:adjustRightInd w:val="0"/>
        <w:snapToGrid w:val="0"/>
        <w:spacing w:line="580" w:lineRule="exact"/>
        <w:ind w:firstLine="640" w:firstLineChars="200"/>
        <w:contextualSpacing/>
        <w:jc w:val="left"/>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zh-CN" w:eastAsia="zh-CN" w:bidi="ar-SA"/>
        </w:rPr>
        <w:t>（三）人员概况。</w:t>
      </w:r>
    </w:p>
    <w:p>
      <w:pPr>
        <w:ind w:firstLine="640" w:firstLineChars="200"/>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en-US" w:eastAsia="zh-CN" w:bidi="ar-SA"/>
        </w:rPr>
        <w:t>红原县纪委监委、巡察办年末在职公务员编制47人，工勤编制2人。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Style w:val="2"/>
        <w:rPr>
          <w:rFonts w:hint="default"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zh-CN" w:eastAsia="zh-CN" w:bidi="ar-SA"/>
        </w:rPr>
        <w:t>本年收入共计</w:t>
      </w:r>
      <w:r>
        <w:rPr>
          <w:rFonts w:hint="eastAsia" w:ascii="仿宋_GB2312" w:hAnsi="Times New Roman" w:eastAsia="仿宋_GB2312" w:cs="Times New Roman"/>
          <w:color w:val="000000" w:themeColor="text1"/>
          <w:kern w:val="2"/>
          <w:sz w:val="32"/>
          <w:szCs w:val="32"/>
          <w:lang w:val="en-US" w:eastAsia="zh-CN" w:bidi="ar-SA"/>
        </w:rPr>
        <w:t>939.67万元。其中：一般公共预算财政拨款收入886.47万元；年初结转和结余53.2万元。</w:t>
      </w:r>
    </w:p>
    <w:p>
      <w:pPr>
        <w:widowControl/>
        <w:numPr>
          <w:ilvl w:val="0"/>
          <w:numId w:val="4"/>
        </w:numPr>
        <w:adjustRightInd w:val="0"/>
        <w:snapToGrid w:val="0"/>
        <w:spacing w:line="580" w:lineRule="exact"/>
        <w:ind w:left="0" w:leftChars="0" w:firstLine="640" w:firstLineChars="200"/>
        <w:contextualSpacing/>
        <w:jc w:val="left"/>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zh-CN" w:eastAsia="zh-CN" w:bidi="ar-SA"/>
        </w:rPr>
        <w:t>部门财政资金支出情况。</w:t>
      </w:r>
    </w:p>
    <w:p>
      <w:pPr>
        <w:pStyle w:val="2"/>
        <w:numPr>
          <w:ilvl w:val="0"/>
          <w:numId w:val="0"/>
        </w:numPr>
        <w:ind w:leftChars="200" w:firstLine="320" w:firstLineChars="100"/>
        <w:rPr>
          <w:rFonts w:hint="default"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zh-CN" w:eastAsia="zh-CN" w:bidi="ar-SA"/>
        </w:rPr>
        <w:t>本年支出共计</w:t>
      </w:r>
      <w:r>
        <w:rPr>
          <w:rFonts w:hint="eastAsia" w:ascii="仿宋_GB2312" w:hAnsi="Times New Roman" w:eastAsia="仿宋_GB2312" w:cs="Times New Roman"/>
          <w:color w:val="000000" w:themeColor="text1"/>
          <w:kern w:val="2"/>
          <w:sz w:val="32"/>
          <w:szCs w:val="32"/>
          <w:lang w:val="en-US" w:eastAsia="zh-CN" w:bidi="ar-SA"/>
        </w:rPr>
        <w:t>939.67万元。其中：一般公共服务支出720.85万元；社会保障和就业支出104.31万元；卫生健康支出43.85万元；住房保障支出66.08万元。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lang w:val="zh-CN"/>
        </w:rPr>
      </w:pPr>
      <w:r>
        <w:rPr>
          <w:rFonts w:hint="eastAsia" w:ascii="仿宋_GB2312" w:eastAsia="仿宋_GB2312"/>
          <w:color w:val="000000" w:themeColor="text1"/>
          <w:sz w:val="32"/>
          <w:szCs w:val="32"/>
          <w:lang w:val="zh-CN"/>
        </w:rPr>
        <w:t>按照《财务管理规定》、《公务接待费管理规定》、《差旅费、会议费、培训费管理规定》、等规章制度</w:t>
      </w:r>
      <w:r>
        <w:rPr>
          <w:rFonts w:hint="eastAsia" w:ascii="仿宋_GB2312" w:hAnsi="宋体" w:eastAsia="仿宋_GB2312" w:cs="宋体"/>
          <w:color w:val="000000"/>
          <w:kern w:val="0"/>
          <w:sz w:val="32"/>
          <w:szCs w:val="32"/>
          <w:shd w:val="clear" w:color="auto" w:fill="FFFFFF"/>
          <w:lang w:val="zh-CN"/>
        </w:rPr>
        <w:t>严格按照相关法律法规，经费管理规定执行，合理使用资金。</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结果应用情况。</w:t>
      </w:r>
    </w:p>
    <w:p>
      <w:pPr>
        <w:widowControl/>
        <w:adjustRightInd w:val="0"/>
        <w:snapToGrid w:val="0"/>
        <w:spacing w:line="580" w:lineRule="exact"/>
        <w:ind w:firstLine="640" w:firstLineChars="200"/>
        <w:contextualSpacing/>
        <w:jc w:val="left"/>
        <w:rPr>
          <w:lang w:val="zh-CN"/>
        </w:rPr>
      </w:pPr>
      <w:r>
        <w:rPr>
          <w:rFonts w:hint="eastAsia" w:ascii="仿宋_GB2312" w:hAnsi="宋体" w:eastAsia="仿宋_GB2312" w:cs="宋体"/>
          <w:color w:val="000000"/>
          <w:kern w:val="0"/>
          <w:sz w:val="32"/>
          <w:szCs w:val="32"/>
          <w:shd w:val="clear" w:color="auto" w:fill="FFFFFF"/>
          <w:lang w:val="zh-CN"/>
        </w:rPr>
        <w:t>我委预算管理严格按照相关法律法规及经费管理规定执行。</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按照</w:t>
      </w:r>
      <w:r>
        <w:rPr>
          <w:rFonts w:hint="eastAsia" w:ascii="仿宋_GB2312" w:eastAsia="仿宋_GB2312"/>
          <w:color w:val="000000" w:themeColor="text1"/>
          <w:sz w:val="32"/>
          <w:szCs w:val="32"/>
          <w:lang w:val="zh-CN"/>
        </w:rPr>
        <w:t>《财务管理规定》、《公务接待费管理规定》、《差旅费、会议费、培训费管理规定》、等规章制度</w:t>
      </w:r>
      <w:r>
        <w:rPr>
          <w:rFonts w:hint="eastAsia" w:ascii="仿宋_GB2312" w:hAnsi="宋体" w:eastAsia="仿宋_GB2312" w:cs="宋体"/>
          <w:color w:val="000000"/>
          <w:kern w:val="0"/>
          <w:sz w:val="32"/>
          <w:szCs w:val="32"/>
          <w:shd w:val="clear" w:color="auto" w:fill="FFFFFF"/>
          <w:lang w:val="zh-CN"/>
        </w:rPr>
        <w:t>发现资金均合理合规使用。</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（二）存在的问题。</w:t>
      </w:r>
    </w:p>
    <w:p>
      <w:pPr>
        <w:pStyle w:val="2"/>
        <w:numPr>
          <w:ilvl w:val="0"/>
          <w:numId w:val="0"/>
        </w:numPr>
        <w:ind w:leftChars="200"/>
        <w:rPr>
          <w:rFonts w:hint="eastAsia"/>
          <w:lang w:val="zh-CN"/>
        </w:rPr>
      </w:pPr>
      <w:r>
        <w:rPr>
          <w:rFonts w:hint="eastAsia" w:ascii="仿宋_GB2312" w:hAnsi="宋体" w:eastAsia="仿宋_GB2312" w:cs="宋体"/>
          <w:color w:val="000000"/>
          <w:kern w:val="0"/>
          <w:sz w:val="32"/>
          <w:szCs w:val="32"/>
          <w:shd w:val="clear" w:color="auto" w:fill="FFFFFF"/>
          <w:lang w:val="zh-CN" w:eastAsia="zh-CN" w:bidi="ar-SA"/>
        </w:rPr>
        <w:t>我委财务信息化建设需进一步加强</w:t>
      </w:r>
      <w:r>
        <w:rPr>
          <w:rFonts w:hint="eastAsia"/>
          <w:lang w:val="zh-CN"/>
        </w:rPr>
        <w:t>。</w:t>
      </w:r>
    </w:p>
    <w:p>
      <w:pPr>
        <w:pStyle w:val="2"/>
        <w:numPr>
          <w:ilvl w:val="0"/>
          <w:numId w:val="5"/>
        </w:numPr>
        <w:ind w:left="0" w:leftChars="0" w:firstLine="640" w:firstLineChars="200"/>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改进建议</w:t>
      </w:r>
    </w:p>
    <w:p>
      <w:pPr>
        <w:pStyle w:val="2"/>
        <w:numPr>
          <w:ilvl w:val="0"/>
          <w:numId w:val="0"/>
        </w:numPr>
        <w:ind w:leftChars="200"/>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会计专业性较强，希望加大对会计业务知识培训。</w:t>
      </w:r>
    </w:p>
    <w:p>
      <w:pPr>
        <w:widowControl/>
        <w:jc w:val="center"/>
        <w:rPr>
          <w:rStyle w:val="26"/>
          <w:rFonts w:ascii="黑体" w:hAnsi="黑体" w:eastAsia="黑体"/>
          <w:b w:val="0"/>
        </w:rPr>
      </w:pPr>
      <w:bookmarkStart w:id="55"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4"/>
      <w:bookmarkEnd w:id="55"/>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56"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56"/>
    </w:p>
    <w:p>
      <w:pPr>
        <w:pStyle w:val="5"/>
        <w:rPr>
          <w:rFonts w:ascii="仿宋" w:hAnsi="仿宋" w:eastAsia="仿宋"/>
          <w:color w:val="000000"/>
        </w:rPr>
      </w:pPr>
      <w:bookmarkStart w:id="57"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57"/>
    </w:p>
    <w:p>
      <w:pPr>
        <w:pStyle w:val="5"/>
        <w:rPr>
          <w:rFonts w:ascii="仿宋" w:hAnsi="仿宋" w:eastAsia="仿宋"/>
          <w:color w:val="000000"/>
        </w:rPr>
      </w:pPr>
      <w:bookmarkStart w:id="58"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58"/>
    </w:p>
    <w:p>
      <w:pPr>
        <w:pStyle w:val="5"/>
        <w:rPr>
          <w:rFonts w:ascii="仿宋" w:hAnsi="仿宋" w:eastAsia="仿宋"/>
          <w:b w:val="0"/>
          <w:color w:val="000000"/>
        </w:rPr>
      </w:pPr>
      <w:bookmarkStart w:id="59"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59"/>
    </w:p>
    <w:p>
      <w:pPr>
        <w:pStyle w:val="5"/>
        <w:rPr>
          <w:rStyle w:val="27"/>
          <w:rFonts w:ascii="仿宋" w:hAnsi="仿宋" w:eastAsia="仿宋"/>
          <w:b w:val="0"/>
          <w:bCs w:val="0"/>
        </w:rPr>
      </w:pPr>
      <w:bookmarkStart w:id="60"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0"/>
      <w:bookmarkStart w:id="61" w:name="_Toc15396624"/>
    </w:p>
    <w:p>
      <w:pPr>
        <w:pStyle w:val="5"/>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1"/>
    </w:p>
    <w:p>
      <w:pPr>
        <w:pStyle w:val="5"/>
        <w:rPr>
          <w:rFonts w:ascii="仿宋" w:hAnsi="仿宋" w:eastAsia="仿宋"/>
          <w:color w:val="000000"/>
        </w:rPr>
      </w:pPr>
      <w:bookmarkStart w:id="62"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2"/>
    </w:p>
    <w:p>
      <w:pPr>
        <w:pStyle w:val="5"/>
        <w:rPr>
          <w:rFonts w:ascii="仿宋" w:hAnsi="仿宋" w:eastAsia="仿宋"/>
          <w:color w:val="000000"/>
        </w:rPr>
      </w:pPr>
      <w:bookmarkStart w:id="63"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3"/>
    </w:p>
    <w:p>
      <w:pPr>
        <w:pStyle w:val="5"/>
        <w:rPr>
          <w:rFonts w:ascii="仿宋" w:hAnsi="仿宋" w:eastAsia="仿宋"/>
          <w:color w:val="000000"/>
        </w:rPr>
      </w:pPr>
      <w:bookmarkStart w:id="64"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4"/>
    </w:p>
    <w:p>
      <w:pPr>
        <w:pStyle w:val="5"/>
        <w:rPr>
          <w:rFonts w:ascii="仿宋" w:hAnsi="仿宋" w:eastAsia="仿宋"/>
          <w:color w:val="000000"/>
        </w:rPr>
      </w:pPr>
      <w:bookmarkStart w:id="65"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5"/>
    </w:p>
    <w:p>
      <w:pPr>
        <w:pStyle w:val="5"/>
        <w:rPr>
          <w:rFonts w:ascii="仿宋" w:hAnsi="仿宋" w:eastAsia="仿宋"/>
          <w:color w:val="000000"/>
        </w:rPr>
      </w:pPr>
      <w:bookmarkStart w:id="66"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6"/>
    </w:p>
    <w:p>
      <w:pPr>
        <w:pStyle w:val="5"/>
        <w:rPr>
          <w:rFonts w:ascii="仿宋" w:hAnsi="仿宋" w:eastAsia="仿宋"/>
          <w:color w:val="000000"/>
        </w:rPr>
      </w:pPr>
      <w:bookmarkStart w:id="67"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7"/>
    </w:p>
    <w:p>
      <w:pPr>
        <w:pStyle w:val="5"/>
        <w:rPr>
          <w:rFonts w:ascii="仿宋" w:hAnsi="仿宋" w:eastAsia="仿宋"/>
          <w:color w:val="000000" w:themeColor="text1"/>
        </w:rPr>
      </w:pPr>
      <w:bookmarkStart w:id="68"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2D05952"/>
    <w:multiLevelType w:val="singleLevel"/>
    <w:tmpl w:val="12D05952"/>
    <w:lvl w:ilvl="0" w:tentative="0">
      <w:start w:val="2"/>
      <w:numFmt w:val="chineseCounting"/>
      <w:suff w:val="nothing"/>
      <w:lvlText w:val="（%1）"/>
      <w:lvlJc w:val="left"/>
      <w:rPr>
        <w:rFonts w:hint="eastAsia"/>
      </w:rPr>
    </w:lvl>
  </w:abstractNum>
  <w:abstractNum w:abstractNumId="4">
    <w:nsid w:val="16B61244"/>
    <w:multiLevelType w:val="singleLevel"/>
    <w:tmpl w:val="16B61244"/>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81FB9"/>
    <w:rsid w:val="087F44A9"/>
    <w:rsid w:val="0D577D17"/>
    <w:rsid w:val="0F0F22BF"/>
    <w:rsid w:val="0F9265F6"/>
    <w:rsid w:val="10C055FF"/>
    <w:rsid w:val="16BB723D"/>
    <w:rsid w:val="170D0298"/>
    <w:rsid w:val="185A3C66"/>
    <w:rsid w:val="199D2B80"/>
    <w:rsid w:val="1B7A731F"/>
    <w:rsid w:val="1E140CBD"/>
    <w:rsid w:val="1EA37E00"/>
    <w:rsid w:val="22C709C6"/>
    <w:rsid w:val="240371BF"/>
    <w:rsid w:val="26283D8C"/>
    <w:rsid w:val="2770081C"/>
    <w:rsid w:val="27A91F57"/>
    <w:rsid w:val="29370982"/>
    <w:rsid w:val="29FD04D3"/>
    <w:rsid w:val="319F7F4E"/>
    <w:rsid w:val="33EC7DA3"/>
    <w:rsid w:val="35627214"/>
    <w:rsid w:val="36A823EF"/>
    <w:rsid w:val="3B6B51C4"/>
    <w:rsid w:val="3B985A56"/>
    <w:rsid w:val="3DAF18C7"/>
    <w:rsid w:val="4852306C"/>
    <w:rsid w:val="48543D18"/>
    <w:rsid w:val="4A8731A4"/>
    <w:rsid w:val="4B1931D8"/>
    <w:rsid w:val="4ECE2238"/>
    <w:rsid w:val="51C85F36"/>
    <w:rsid w:val="554419F7"/>
    <w:rsid w:val="56DF6ADA"/>
    <w:rsid w:val="57A70DE1"/>
    <w:rsid w:val="5A106BF4"/>
    <w:rsid w:val="5CBD79B6"/>
    <w:rsid w:val="5D656C0D"/>
    <w:rsid w:val="5D835D75"/>
    <w:rsid w:val="6D423D60"/>
    <w:rsid w:val="6DA3069F"/>
    <w:rsid w:val="72734D90"/>
    <w:rsid w:val="79302E59"/>
    <w:rsid w:val="7B3445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widowControl w:val="0"/>
      <w:ind w:firstLine="200" w:firstLineChars="200"/>
      <w:jc w:val="both"/>
    </w:pPr>
    <w:rPr>
      <w:rFonts w:ascii="仿宋_GB2312" w:hAnsi="Calibri" w:eastAsia="仿宋_GB2312" w:cs="Times New Roman"/>
      <w:sz w:val="30"/>
      <w:szCs w:val="20"/>
    </w:r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4"/>
    <w:qFormat/>
    <w:uiPriority w:val="9"/>
    <w:rPr>
      <w:rFonts w:ascii="Times New Roman" w:hAnsi="Times New Roman"/>
      <w:b/>
      <w:bCs/>
      <w:kern w:val="44"/>
      <w:sz w:val="44"/>
      <w:szCs w:val="44"/>
    </w:rPr>
  </w:style>
  <w:style w:type="character" w:customStyle="1" w:styleId="27">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6"/>
    <w:qFormat/>
    <w:uiPriority w:val="9"/>
    <w:rPr>
      <w:rFonts w:ascii="Times New Roman" w:hAnsi="Times New Roman"/>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11</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2020-07-23T02:58:00Z</cp:lastPrinted>
  <dcterms:modified xsi:type="dcterms:W3CDTF">2020-10-13T03:05:32Z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