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96475"/>
      <w:bookmarkStart w:id="3" w:name="_Toc15396597"/>
      <w:bookmarkStart w:id="4" w:name="_Toc15377425"/>
      <w:bookmarkStart w:id="5"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r>
        <w:rPr>
          <w:rFonts w:hint="eastAsia" w:ascii="方正小标宋简体" w:hAnsi="宋体" w:eastAsia="方正小标宋简体"/>
          <w:color w:val="000000"/>
          <w:sz w:val="72"/>
          <w:szCs w:val="72"/>
        </w:rPr>
        <w:t>部门决算</w:t>
      </w:r>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598"/>
      <w:bookmarkStart w:id="7" w:name="_Toc15396476"/>
      <w:bookmarkStart w:id="8" w:name="_Toc15378442"/>
      <w:bookmarkStart w:id="9" w:name="_Toc15377426"/>
      <w:bookmarkStart w:id="10" w:name="_Toc15377194"/>
      <w:r>
        <w:rPr>
          <w:rFonts w:hint="eastAsia" w:ascii="方正小标宋简体" w:hAnsi="宋体" w:eastAsia="方正小标宋简体"/>
          <w:color w:val="000000"/>
          <w:sz w:val="44"/>
          <w:szCs w:val="44"/>
          <w:lang w:eastAsia="zh-CN"/>
        </w:rPr>
        <w:t>（</w:t>
      </w:r>
      <w:r>
        <w:rPr>
          <w:rFonts w:hint="eastAsia" w:ascii="方正小标宋简体" w:hAnsi="宋体" w:eastAsia="方正小标宋简体"/>
          <w:color w:val="000000"/>
          <w:sz w:val="44"/>
          <w:szCs w:val="44"/>
        </w:rPr>
        <w:t>四川省</w:t>
      </w:r>
      <w:bookmarkEnd w:id="0"/>
      <w:bookmarkStart w:id="11" w:name="_Toc15306268"/>
      <w:r>
        <w:rPr>
          <w:rFonts w:hint="eastAsia" w:ascii="方正小标宋简体" w:hAnsi="宋体" w:eastAsia="方正小标宋简体"/>
          <w:color w:val="000000"/>
          <w:sz w:val="44"/>
          <w:szCs w:val="44"/>
          <w:lang w:eastAsia="zh-CN"/>
        </w:rPr>
        <w:t>阿坝州阿坝县纪律检查委员会</w:t>
      </w:r>
      <w:bookmarkEnd w:id="6"/>
      <w:bookmarkEnd w:id="7"/>
      <w:bookmarkEnd w:id="8"/>
      <w:bookmarkEnd w:id="9"/>
      <w:bookmarkEnd w:id="10"/>
      <w:bookmarkEnd w:id="11"/>
      <w:r>
        <w:rPr>
          <w:rFonts w:hint="eastAsia" w:ascii="方正小标宋简体" w:hAnsi="宋体" w:eastAsia="方正小标宋简体"/>
          <w:color w:val="000000"/>
          <w:sz w:val="44"/>
          <w:szCs w:val="44"/>
          <w:lang w:eastAsia="zh-CN"/>
        </w:rPr>
        <w:t>）</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pPr>
      <w:r>
        <w:rPr>
          <w:rFonts w:hint="eastAsia"/>
        </w:rPr>
        <w:t>公开时间：2020年</w:t>
      </w:r>
      <w:r>
        <w:rPr>
          <w:rFonts w:hint="eastAsia"/>
          <w:lang w:val="en-US" w:eastAsia="zh-CN"/>
        </w:rPr>
        <w:t>9</w:t>
      </w:r>
      <w:r>
        <w:rPr>
          <w:rFonts w:hint="eastAsia"/>
        </w:rPr>
        <w:t>月</w:t>
      </w:r>
      <w:r>
        <w:rPr>
          <w:rFonts w:hint="eastAsia"/>
          <w:lang w:val="en-US" w:eastAsia="zh-CN"/>
        </w:rPr>
        <w:t>10</w:t>
      </w:r>
      <w:r>
        <w:rPr>
          <w:rFonts w:hint="eastAsia"/>
        </w:rPr>
        <w:t>日</w:t>
      </w:r>
    </w:p>
    <w:p/>
    <w:p>
      <w:pPr>
        <w:pStyle w:val="10"/>
        <w:rPr>
          <w:rFonts w:cstheme="minorBidi"/>
        </w:rPr>
      </w:pPr>
      <w:r>
        <w:fldChar w:fldCharType="begin"/>
      </w:r>
      <w:r>
        <w:instrText xml:space="preserve"> HYPERLINK \l "_Toc15396599" </w:instrText>
      </w:r>
      <w:r>
        <w:fldChar w:fldCharType="separate"/>
      </w:r>
      <w:r>
        <w:rPr>
          <w:rStyle w:val="16"/>
          <w:rFonts w:hint="eastAsia"/>
        </w:rPr>
        <w:t>第一部分部门概况</w:t>
      </w:r>
      <w:r>
        <w:tab/>
      </w:r>
      <w:r>
        <w:rPr>
          <w:rFonts w:hint="eastAsia"/>
        </w:rPr>
        <w:t>4</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6"/>
          <w:rFonts w:hint="eastAsia"/>
        </w:rPr>
        <w:t>第二部分</w:t>
      </w:r>
      <w:r>
        <w:rPr>
          <w:rStyle w:val="16"/>
        </w:rPr>
        <w:t xml:space="preserve"> 201</w:t>
      </w:r>
      <w:r>
        <w:rPr>
          <w:rStyle w:val="16"/>
          <w:rFonts w:hint="eastAsia"/>
          <w:lang w:val="en-US" w:eastAsia="zh-CN"/>
        </w:rPr>
        <w:t>9</w:t>
      </w:r>
      <w:r>
        <w:rPr>
          <w:rStyle w:val="16"/>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6"/>
          <w:rFonts w:hint="eastAsia" w:ascii="仿宋" w:hAnsi="仿宋" w:eastAsia="仿宋" w:cstheme="majorBidi"/>
          <w:bCs/>
          <w:sz w:val="28"/>
          <w:szCs w:val="28"/>
        </w:rPr>
        <w:t>一、</w:t>
      </w:r>
      <w:r>
        <w:rPr>
          <w:rStyle w:val="16"/>
          <w:rFonts w:hint="eastAsia" w:ascii="仿宋" w:hAnsi="仿宋" w:eastAsia="仿宋"/>
          <w:sz w:val="28"/>
          <w:szCs w:val="28"/>
        </w:rPr>
        <w:t>收</w:t>
      </w:r>
      <w:r>
        <w:rPr>
          <w:rStyle w:val="16"/>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6"/>
          <w:rFonts w:hint="eastAsia" w:ascii="仿宋" w:hAnsi="仿宋" w:eastAsia="仿宋" w:cstheme="majorBidi"/>
          <w:bCs/>
          <w:sz w:val="28"/>
          <w:szCs w:val="28"/>
        </w:rPr>
        <w:t>二、</w:t>
      </w:r>
      <w:r>
        <w:rPr>
          <w:rStyle w:val="16"/>
          <w:rFonts w:hint="eastAsia" w:ascii="仿宋" w:hAnsi="仿宋" w:eastAsia="仿宋"/>
          <w:sz w:val="28"/>
          <w:szCs w:val="28"/>
        </w:rPr>
        <w:t>收</w:t>
      </w:r>
      <w:r>
        <w:rPr>
          <w:rStyle w:val="16"/>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6"/>
          <w:rFonts w:hint="eastAsia" w:ascii="仿宋" w:hAnsi="仿宋" w:eastAsia="仿宋" w:cstheme="majorBidi"/>
          <w:bCs/>
          <w:sz w:val="28"/>
          <w:szCs w:val="28"/>
        </w:rPr>
        <w:t>三、</w:t>
      </w:r>
      <w:r>
        <w:rPr>
          <w:rStyle w:val="16"/>
          <w:rFonts w:hint="eastAsia" w:ascii="仿宋" w:hAnsi="仿宋" w:eastAsia="仿宋"/>
          <w:sz w:val="28"/>
          <w:szCs w:val="28"/>
        </w:rPr>
        <w:t>支</w:t>
      </w:r>
      <w:r>
        <w:rPr>
          <w:rStyle w:val="16"/>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ascii="仿宋" w:hAnsi="仿宋" w:eastAsia="仿宋"/>
          <w:sz w:val="28"/>
          <w:szCs w:val="28"/>
        </w:rPr>
        <w:t>“</w:t>
      </w:r>
      <w:r>
        <w:rPr>
          <w:rStyle w:val="16"/>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"_Toc15396611" </w:instrText>
      </w:r>
      <w:r>
        <w:fldChar w:fldCharType="separate"/>
      </w:r>
      <w:r>
        <w:rPr>
          <w:rStyle w:val="16"/>
          <w:rFonts w:hint="eastAsia" w:ascii="仿宋" w:hAnsi="仿宋" w:eastAsia="仿宋" w:cstheme="majorBidi"/>
          <w:bCs/>
          <w:sz w:val="28"/>
          <w:szCs w:val="28"/>
        </w:rPr>
        <w:t>九、</w:t>
      </w:r>
      <w:r>
        <w:rPr>
          <w:rStyle w:val="16"/>
          <w:rFonts w:hint="eastAsia" w:ascii="仿宋" w:hAnsi="仿宋" w:eastAsia="仿宋"/>
          <w:sz w:val="28"/>
          <w:szCs w:val="28"/>
        </w:rPr>
        <w:t xml:space="preserve"> 国</w:t>
      </w:r>
      <w:r>
        <w:rPr>
          <w:rStyle w:val="16"/>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6"/>
          <w:rFonts w:hint="eastAsia"/>
          <w:bCs/>
          <w:kern w:val="44"/>
        </w:rPr>
        <w:t>第三部分</w:t>
      </w:r>
      <w:r>
        <w:rPr>
          <w:rStyle w:val="16"/>
          <w:rFonts w:hint="eastAsia"/>
        </w:rPr>
        <w:t xml:space="preserve"> 名</w:t>
      </w:r>
      <w:r>
        <w:rPr>
          <w:rStyle w:val="16"/>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pPr>
        <w:pStyle w:val="10"/>
        <w:rPr>
          <w:rFonts w:cstheme="minorBidi"/>
        </w:rPr>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四部分附件</w:t>
      </w:r>
      <w:r>
        <w:tab/>
      </w:r>
      <w:r>
        <w:fldChar w:fldCharType="begin"/>
      </w:r>
      <w:r>
        <w:instrText xml:space="preserve"> PAGEREF _Toc15396614 \h </w:instrText>
      </w:r>
      <w:r>
        <w:fldChar w:fldCharType="separate"/>
      </w:r>
      <w:r>
        <w:t>19</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"_Toc15396617"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五部分附表</w:t>
      </w:r>
      <w:r>
        <w:tab/>
      </w:r>
      <w:r>
        <w:fldChar w:fldCharType="begin"/>
      </w:r>
      <w:r>
        <w:instrText xml:space="preserve"> PAGEREF _Toc15396618 \h </w:instrText>
      </w:r>
      <w:r>
        <w:fldChar w:fldCharType="separate"/>
      </w:r>
      <w:r>
        <w:t>22</w:t>
      </w:r>
      <w:r>
        <w:fldChar w:fldCharType="end"/>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2"/>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6"/>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snapToGrid w:val="0"/>
        <w:spacing w:line="520" w:lineRule="exact"/>
        <w:ind w:firstLine="640" w:firstLineChars="200"/>
        <w:rPr>
          <w:rFonts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r>
        <w:rPr>
          <w:rFonts w:hint="eastAsia" w:ascii="仿宋_GB2312" w:hAnsi="仿宋_GB2312" w:eastAsia="仿宋_GB2312" w:cs="仿宋_GB2312"/>
          <w:sz w:val="32"/>
          <w:szCs w:val="32"/>
        </w:rPr>
        <w:t>根据文件规定，中共阿坝县纪律检查委员会与阿坝县监察委员会、阿坝县委巡察办合署办公，实行一套工作机构、三个机关名称的体制，履行党的纪律检查、国家监察和县级巡察职能。</w:t>
      </w:r>
      <w:bookmarkEnd w:id="16"/>
      <w:bookmarkEnd w:id="17"/>
    </w:p>
    <w:p>
      <w:pPr>
        <w:snapToGrid w:val="0"/>
        <w:spacing w:line="576" w:lineRule="exact"/>
        <w:ind w:firstLine="640" w:firstLineChars="200"/>
        <w:rPr>
          <w:rFonts w:hint="eastAsia" w:ascii="仿宋_GB2312" w:hAnsi="华文中宋" w:eastAsia="仿宋_GB2312"/>
          <w:bCs/>
          <w:sz w:val="32"/>
          <w:szCs w:val="32"/>
        </w:rPr>
      </w:pPr>
      <w:bookmarkStart w:id="18" w:name="_Toc15377199"/>
      <w:bookmarkStart w:id="19"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r>
        <w:rPr>
          <w:rFonts w:hint="eastAsia" w:ascii="仿宋_GB2312" w:hAnsi="华文中宋" w:eastAsia="仿宋_GB2312"/>
          <w:bCs/>
          <w:sz w:val="32"/>
          <w:szCs w:val="32"/>
        </w:rPr>
        <w:t>在州纪委和县委县政府的坚强领导下，县纪委监察局坚决贯彻执行各项工作部署，结合省、州下达的任务目标，紧紧围绕我县“发展民生稳定”三件大事，全面压实“两个责任”，坚定不移地推进党风廉政建设和反腐败斗争; 持续推进作风建设，切实转变干部作风;坚持高压态势，开展重大政策、整点领域、重点行业、重点部门的监督检查。</w:t>
      </w:r>
      <w:bookmarkStart w:id="20" w:name="_Toc15377200"/>
      <w:bookmarkStart w:id="21" w:name="_Toc15396601"/>
    </w:p>
    <w:p>
      <w:pPr>
        <w:numPr>
          <w:ilvl w:val="0"/>
          <w:numId w:val="1"/>
        </w:numPr>
        <w:snapToGrid w:val="0"/>
        <w:spacing w:line="576" w:lineRule="exact"/>
        <w:ind w:firstLine="640" w:firstLineChars="200"/>
        <w:rPr>
          <w:rStyle w:val="26"/>
          <w:rFonts w:hint="eastAsia" w:ascii="黑体" w:hAnsi="黑体" w:eastAsia="黑体"/>
          <w:b w:val="0"/>
          <w:bCs w:val="0"/>
          <w:lang w:eastAsia="zh-CN"/>
        </w:rPr>
      </w:pPr>
      <w:r>
        <w:rPr>
          <w:rFonts w:hint="eastAsia" w:ascii="黑体" w:hAnsi="黑体" w:eastAsia="黑体"/>
          <w:b w:val="0"/>
          <w:color w:val="000000"/>
          <w:sz w:val="32"/>
          <w:szCs w:val="32"/>
        </w:rPr>
        <w:t>机</w:t>
      </w:r>
      <w:r>
        <w:rPr>
          <w:rStyle w:val="26"/>
          <w:rFonts w:hint="eastAsia" w:ascii="黑体" w:hAnsi="黑体" w:eastAsia="黑体"/>
          <w:b w:val="0"/>
          <w:bCs w:val="0"/>
          <w:sz w:val="32"/>
          <w:szCs w:val="32"/>
        </w:rPr>
        <w:t>构</w:t>
      </w:r>
      <w:r>
        <w:rPr>
          <w:rStyle w:val="26"/>
          <w:rFonts w:hint="eastAsia" w:ascii="黑体" w:hAnsi="黑体" w:eastAsia="黑体"/>
          <w:b w:val="0"/>
          <w:bCs w:val="0"/>
        </w:rPr>
        <w:t>设置</w:t>
      </w:r>
      <w:bookmarkEnd w:id="20"/>
      <w:bookmarkEnd w:id="21"/>
      <w:bookmarkStart w:id="22" w:name="_Toc15396602"/>
      <w:bookmarkStart w:id="23" w:name="_Toc15377204"/>
      <w:r>
        <w:rPr>
          <w:rStyle w:val="26"/>
          <w:rFonts w:hint="eastAsia" w:ascii="黑体" w:hAnsi="黑体" w:eastAsia="黑体"/>
          <w:b w:val="0"/>
          <w:bCs w:val="0"/>
          <w:lang w:eastAsia="zh-CN"/>
        </w:rPr>
        <w:t>。</w:t>
      </w:r>
    </w:p>
    <w:p>
      <w:pPr>
        <w:numPr>
          <w:ilvl w:val="0"/>
          <w:numId w:val="0"/>
        </w:numPr>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我委为独立核算全额拨款行政单位，截止201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年底我单位共有编制</w:t>
      </w:r>
      <w:r>
        <w:rPr>
          <w:rFonts w:hint="eastAsia" w:ascii="仿宋_GB2312" w:hAnsi="仿宋_GB2312" w:eastAsia="仿宋_GB2312" w:cs="仿宋_GB2312"/>
          <w:sz w:val="32"/>
          <w:szCs w:val="32"/>
          <w:lang w:val="en-US" w:eastAsia="zh-CN"/>
        </w:rPr>
        <w:t>47</w:t>
      </w:r>
      <w:r>
        <w:rPr>
          <w:rFonts w:hint="eastAsia" w:ascii="仿宋_GB2312" w:hAnsi="仿宋_GB2312" w:eastAsia="仿宋_GB2312" w:cs="仿宋_GB2312"/>
          <w:sz w:val="32"/>
          <w:szCs w:val="32"/>
        </w:rPr>
        <w:t>个，其中公务员编制</w:t>
      </w:r>
      <w:r>
        <w:rPr>
          <w:rFonts w:hint="eastAsia" w:ascii="仿宋_GB2312" w:hAnsi="仿宋_GB2312" w:eastAsia="仿宋_GB2312" w:cs="仿宋_GB2312"/>
          <w:sz w:val="32"/>
          <w:szCs w:val="32"/>
          <w:lang w:val="en-US" w:eastAsia="zh-CN"/>
        </w:rPr>
        <w:t>44</w:t>
      </w:r>
      <w:r>
        <w:rPr>
          <w:rFonts w:hint="eastAsia" w:ascii="仿宋_GB2312" w:hAnsi="仿宋_GB2312" w:eastAsia="仿宋_GB2312" w:cs="仿宋_GB2312"/>
          <w:sz w:val="32"/>
          <w:szCs w:val="32"/>
        </w:rPr>
        <w:t>个，行政工勤编制3个。较上年增加</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个，是因为</w:t>
      </w:r>
      <w:r>
        <w:rPr>
          <w:rFonts w:hint="eastAsia" w:ascii="仿宋_GB2312" w:hAnsi="仿宋_GB2312" w:eastAsia="仿宋_GB2312" w:cs="仿宋_GB2312"/>
          <w:sz w:val="32"/>
          <w:szCs w:val="32"/>
          <w:lang w:eastAsia="zh-CN"/>
        </w:rPr>
        <w:t>派驻纪检组</w:t>
      </w:r>
      <w:r>
        <w:rPr>
          <w:rFonts w:hint="eastAsia" w:ascii="仿宋_GB2312" w:hAnsi="仿宋_GB2312" w:eastAsia="仿宋_GB2312" w:cs="仿宋_GB2312"/>
          <w:sz w:val="32"/>
          <w:szCs w:val="32"/>
        </w:rPr>
        <w:t>合署办公。目前在职职工</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人，工勤人员3人，是独立核算的机构，是独立编报预算的单位。</w:t>
      </w:r>
    </w:p>
    <w:p>
      <w:pPr>
        <w:pStyle w:val="2"/>
        <w:ind w:right="440"/>
        <w:jc w:val="right"/>
        <w:rPr>
          <w:rStyle w:val="25"/>
          <w:rFonts w:ascii="黑体" w:hAnsi="黑体" w:eastAsia="黑体"/>
          <w:b w:val="0"/>
          <w:bCs w:val="0"/>
        </w:rPr>
      </w:pPr>
      <w:r>
        <w:rPr>
          <w:rFonts w:hint="eastAsia" w:ascii="黑体" w:hAnsi="黑体" w:eastAsia="黑体"/>
          <w:b w:val="0"/>
          <w:color w:val="000000"/>
        </w:rPr>
        <w:t>第二部分</w:t>
      </w:r>
      <w:r>
        <w:rPr>
          <w:rStyle w:val="25"/>
          <w:rFonts w:hint="eastAsia" w:ascii="黑体" w:hAnsi="黑体" w:eastAsia="黑体"/>
          <w:b w:val="0"/>
          <w:bCs w:val="0"/>
        </w:rPr>
        <w:t>2019年度部门决算情况说明</w:t>
      </w:r>
      <w:bookmarkEnd w:id="22"/>
      <w:bookmarkEnd w:id="23"/>
    </w:p>
    <w:p/>
    <w:p>
      <w:pPr>
        <w:pStyle w:val="24"/>
        <w:numPr>
          <w:ilvl w:val="0"/>
          <w:numId w:val="2"/>
        </w:numPr>
        <w:spacing w:line="600" w:lineRule="exact"/>
        <w:ind w:firstLineChars="0"/>
        <w:outlineLvl w:val="1"/>
        <w:rPr>
          <w:rStyle w:val="26"/>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napToGrid w:val="0"/>
        <w:spacing w:line="520" w:lineRule="exact"/>
        <w:ind w:firstLine="640" w:firstLineChars="200"/>
        <w:rPr>
          <w:rFonts w:ascii="仿宋_GB2312" w:hAnsi="仿宋" w:eastAsia="仿宋_GB2312"/>
          <w:sz w:val="32"/>
          <w:szCs w:val="32"/>
        </w:rPr>
      </w:pPr>
      <w:r>
        <w:rPr>
          <w:rFonts w:hint="eastAsia" w:ascii="仿宋_GB2312" w:hAnsi="仿宋_GB2312" w:eastAsia="仿宋_GB2312" w:cs="仿宋_GB2312"/>
          <w:sz w:val="32"/>
          <w:szCs w:val="32"/>
        </w:rPr>
        <w:drawing>
          <wp:anchor distT="0" distB="0" distL="114300" distR="114300" simplePos="0" relativeHeight="251658240" behindDoc="0" locked="0" layoutInCell="1" allowOverlap="1">
            <wp:simplePos x="0" y="0"/>
            <wp:positionH relativeFrom="column">
              <wp:posOffset>937895</wp:posOffset>
            </wp:positionH>
            <wp:positionV relativeFrom="paragraph">
              <wp:posOffset>1510665</wp:posOffset>
            </wp:positionV>
            <wp:extent cx="4055110" cy="2030730"/>
            <wp:effectExtent l="5080" t="4445" r="16510" b="22225"/>
            <wp:wrapSquare wrapText="bothSides"/>
            <wp:docPr id="1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hAnsi="仿宋" w:eastAsia="仿宋_GB2312"/>
          <w:sz w:val="32"/>
          <w:szCs w:val="32"/>
        </w:rPr>
        <w:t>本年收入年初预算安排</w:t>
      </w:r>
      <w:r>
        <w:rPr>
          <w:rFonts w:hint="eastAsia" w:ascii="仿宋_GB2312" w:hAnsi="仿宋" w:eastAsia="仿宋_GB2312"/>
          <w:sz w:val="32"/>
          <w:szCs w:val="32"/>
          <w:lang w:val="en-US" w:eastAsia="zh-CN"/>
        </w:rPr>
        <w:t>761.59</w:t>
      </w:r>
      <w:r>
        <w:rPr>
          <w:rFonts w:hint="eastAsia" w:ascii="仿宋_GB2312" w:hAnsi="仿宋" w:eastAsia="仿宋_GB2312"/>
          <w:sz w:val="32"/>
          <w:szCs w:val="32"/>
        </w:rPr>
        <w:t>万元，201</w:t>
      </w:r>
      <w:r>
        <w:rPr>
          <w:rFonts w:hint="eastAsia" w:ascii="仿宋_GB2312" w:hAnsi="仿宋" w:eastAsia="仿宋_GB2312"/>
          <w:sz w:val="32"/>
          <w:szCs w:val="32"/>
          <w:lang w:val="en-US" w:eastAsia="zh-CN"/>
        </w:rPr>
        <w:t>8</w:t>
      </w:r>
      <w:r>
        <w:rPr>
          <w:rFonts w:hint="eastAsia" w:ascii="仿宋_GB2312" w:hAnsi="仿宋" w:eastAsia="仿宋_GB2312"/>
          <w:sz w:val="32"/>
          <w:szCs w:val="32"/>
        </w:rPr>
        <w:t>年年初预算安排</w:t>
      </w:r>
      <w:r>
        <w:rPr>
          <w:rFonts w:hint="eastAsia" w:ascii="仿宋_GB2312" w:hAnsi="仿宋" w:eastAsia="仿宋_GB2312"/>
          <w:sz w:val="32"/>
          <w:szCs w:val="32"/>
          <w:lang w:val="en-US" w:eastAsia="zh-CN"/>
        </w:rPr>
        <w:t>560.3</w:t>
      </w:r>
      <w:r>
        <w:rPr>
          <w:rFonts w:hint="eastAsia" w:ascii="仿宋_GB2312" w:hAnsi="仿宋" w:eastAsia="仿宋_GB2312"/>
          <w:sz w:val="32"/>
          <w:szCs w:val="32"/>
        </w:rPr>
        <w:t>万元，本年收入年初预算安排比上年增加</w:t>
      </w:r>
      <w:r>
        <w:rPr>
          <w:rFonts w:hint="eastAsia" w:ascii="仿宋_GB2312" w:hAnsi="仿宋" w:eastAsia="仿宋_GB2312"/>
          <w:sz w:val="32"/>
          <w:szCs w:val="32"/>
          <w:lang w:val="en-US" w:eastAsia="zh-CN"/>
        </w:rPr>
        <w:t>201.29</w:t>
      </w:r>
      <w:r>
        <w:rPr>
          <w:rFonts w:hint="eastAsia" w:ascii="仿宋_GB2312" w:hAnsi="仿宋" w:eastAsia="仿宋_GB2312"/>
          <w:sz w:val="32"/>
          <w:szCs w:val="32"/>
        </w:rPr>
        <w:t>万元，增幅</w:t>
      </w:r>
      <w:r>
        <w:rPr>
          <w:rFonts w:hint="eastAsia" w:ascii="仿宋_GB2312" w:hAnsi="仿宋" w:eastAsia="仿宋_GB2312"/>
          <w:sz w:val="32"/>
          <w:szCs w:val="32"/>
          <w:lang w:val="en-US" w:eastAsia="zh-CN"/>
        </w:rPr>
        <w:t>35</w:t>
      </w:r>
      <w:r>
        <w:rPr>
          <w:rFonts w:hint="eastAsia" w:ascii="仿宋_GB2312" w:hAnsi="仿宋" w:eastAsia="仿宋_GB2312"/>
          <w:sz w:val="32"/>
          <w:szCs w:val="32"/>
        </w:rPr>
        <w:t>%，本年基本支出年初预算安排</w:t>
      </w:r>
      <w:r>
        <w:rPr>
          <w:rFonts w:hint="eastAsia" w:ascii="仿宋_GB2312" w:hAnsi="仿宋" w:eastAsia="仿宋_GB2312"/>
          <w:sz w:val="32"/>
          <w:szCs w:val="32"/>
          <w:lang w:val="en-US" w:eastAsia="zh-CN"/>
        </w:rPr>
        <w:t>761.59</w:t>
      </w:r>
      <w:r>
        <w:rPr>
          <w:rFonts w:hint="eastAsia" w:ascii="仿宋_GB2312" w:hAnsi="仿宋" w:eastAsia="仿宋_GB2312"/>
          <w:sz w:val="32"/>
          <w:szCs w:val="32"/>
        </w:rPr>
        <w:t>万元，201</w:t>
      </w:r>
      <w:r>
        <w:rPr>
          <w:rFonts w:hint="eastAsia" w:ascii="仿宋_GB2312" w:hAnsi="仿宋" w:eastAsia="仿宋_GB2312"/>
          <w:sz w:val="32"/>
          <w:szCs w:val="32"/>
          <w:lang w:val="en-US" w:eastAsia="zh-CN"/>
        </w:rPr>
        <w:t>8</w:t>
      </w:r>
      <w:r>
        <w:rPr>
          <w:rFonts w:hint="eastAsia" w:ascii="仿宋_GB2312" w:hAnsi="仿宋" w:eastAsia="仿宋_GB2312"/>
          <w:sz w:val="32"/>
          <w:szCs w:val="32"/>
        </w:rPr>
        <w:t>年年初预算安排</w:t>
      </w:r>
      <w:r>
        <w:rPr>
          <w:rFonts w:hint="eastAsia" w:ascii="仿宋_GB2312" w:hAnsi="仿宋" w:eastAsia="仿宋_GB2312"/>
          <w:sz w:val="32"/>
          <w:szCs w:val="32"/>
          <w:lang w:val="en-US" w:eastAsia="zh-CN"/>
        </w:rPr>
        <w:t>560.3</w:t>
      </w:r>
      <w:r>
        <w:rPr>
          <w:rFonts w:hint="eastAsia" w:ascii="仿宋_GB2312" w:hAnsi="仿宋" w:eastAsia="仿宋_GB2312"/>
          <w:sz w:val="32"/>
          <w:szCs w:val="32"/>
        </w:rPr>
        <w:t>万元，比上年增加</w:t>
      </w:r>
      <w:r>
        <w:rPr>
          <w:rFonts w:hint="eastAsia" w:ascii="仿宋_GB2312" w:hAnsi="仿宋" w:eastAsia="仿宋_GB2312"/>
          <w:sz w:val="32"/>
          <w:szCs w:val="32"/>
          <w:lang w:val="en-US" w:eastAsia="zh-CN"/>
        </w:rPr>
        <w:t>201.29</w:t>
      </w:r>
      <w:r>
        <w:rPr>
          <w:rFonts w:hint="eastAsia" w:ascii="仿宋_GB2312" w:hAnsi="仿宋" w:eastAsia="仿宋_GB2312"/>
          <w:sz w:val="32"/>
          <w:szCs w:val="32"/>
        </w:rPr>
        <w:t>万元，增幅</w:t>
      </w:r>
      <w:r>
        <w:rPr>
          <w:rFonts w:hint="eastAsia" w:ascii="仿宋_GB2312" w:hAnsi="仿宋" w:eastAsia="仿宋_GB2312"/>
          <w:sz w:val="32"/>
          <w:szCs w:val="32"/>
          <w:lang w:val="en-US" w:eastAsia="zh-CN"/>
        </w:rPr>
        <w:t>35</w:t>
      </w:r>
      <w:r>
        <w:rPr>
          <w:rFonts w:hint="eastAsia" w:ascii="仿宋_GB2312" w:hAnsi="仿宋" w:eastAsia="仿宋_GB2312"/>
          <w:sz w:val="32"/>
          <w:szCs w:val="32"/>
        </w:rPr>
        <w:t>%，因本年度</w:t>
      </w:r>
      <w:r>
        <w:rPr>
          <w:rFonts w:hint="eastAsia" w:ascii="仿宋_GB2312" w:hAnsi="仿宋" w:eastAsia="仿宋_GB2312"/>
          <w:sz w:val="32"/>
          <w:szCs w:val="32"/>
          <w:lang w:eastAsia="zh-CN"/>
        </w:rPr>
        <w:t>派驻纪检监察组合署办公</w:t>
      </w:r>
      <w:r>
        <w:rPr>
          <w:rFonts w:hint="eastAsia" w:ascii="仿宋_GB2312" w:hAnsi="仿宋" w:eastAsia="仿宋_GB2312"/>
          <w:sz w:val="32"/>
          <w:szCs w:val="32"/>
        </w:rPr>
        <w:t>人员</w:t>
      </w:r>
      <w:r>
        <w:rPr>
          <w:rFonts w:hint="eastAsia" w:ascii="仿宋_GB2312" w:hAnsi="仿宋" w:eastAsia="仿宋_GB2312"/>
          <w:sz w:val="32"/>
          <w:szCs w:val="32"/>
          <w:lang w:eastAsia="zh-CN"/>
        </w:rPr>
        <w:t>经费</w:t>
      </w:r>
      <w:r>
        <w:rPr>
          <w:rFonts w:hint="eastAsia" w:ascii="仿宋_GB2312" w:hAnsi="仿宋" w:eastAsia="仿宋_GB2312"/>
          <w:sz w:val="32"/>
          <w:szCs w:val="32"/>
        </w:rPr>
        <w:t>增加。</w:t>
      </w: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pStyle w:val="24"/>
        <w:numPr>
          <w:ilvl w:val="0"/>
          <w:numId w:val="2"/>
        </w:numPr>
        <w:spacing w:line="600" w:lineRule="exact"/>
        <w:ind w:firstLineChars="0"/>
        <w:outlineLvl w:val="1"/>
        <w:rPr>
          <w:rStyle w:val="26"/>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600" w:lineRule="exact"/>
        <w:ind w:firstLine="640" w:firstLineChars="200"/>
        <w:outlineLvl w:val="1"/>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2019年本年收入合计</w:t>
      </w:r>
      <w:r>
        <w:rPr>
          <w:rFonts w:hint="eastAsia" w:ascii="仿宋_GB2312" w:hAnsi="仿宋_GB2312" w:eastAsia="仿宋_GB2312" w:cs="仿宋_GB2312"/>
          <w:color w:val="000000"/>
          <w:sz w:val="32"/>
          <w:szCs w:val="32"/>
          <w:lang w:val="en-US" w:eastAsia="zh-CN"/>
        </w:rPr>
        <w:t>808.55</w:t>
      </w:r>
      <w:r>
        <w:rPr>
          <w:rFonts w:hint="eastAsia" w:ascii="仿宋_GB2312" w:hAnsi="仿宋_GB2312" w:eastAsia="仿宋_GB2312" w:cs="仿宋_GB2312"/>
          <w:color w:val="000000"/>
          <w:sz w:val="32"/>
          <w:szCs w:val="32"/>
          <w:lang w:eastAsia="zh-CN"/>
        </w:rPr>
        <w:t>万元，其中：一般公共预算财政拨款收入</w:t>
      </w:r>
      <w:r>
        <w:rPr>
          <w:rFonts w:hint="eastAsia" w:ascii="仿宋_GB2312" w:hAnsi="仿宋_GB2312" w:eastAsia="仿宋_GB2312" w:cs="仿宋_GB2312"/>
          <w:color w:val="000000"/>
          <w:sz w:val="32"/>
          <w:szCs w:val="32"/>
          <w:lang w:val="en-US" w:eastAsia="zh-CN"/>
        </w:rPr>
        <w:t>761.59</w:t>
      </w:r>
      <w:r>
        <w:rPr>
          <w:rFonts w:hint="eastAsia" w:ascii="仿宋_GB2312" w:hAnsi="仿宋_GB2312" w:eastAsia="仿宋_GB2312" w:cs="仿宋_GB2312"/>
          <w:color w:val="000000"/>
          <w:sz w:val="32"/>
          <w:szCs w:val="32"/>
          <w:lang w:eastAsia="zh-CN"/>
        </w:rPr>
        <w:t>万元，占</w:t>
      </w:r>
      <w:r>
        <w:rPr>
          <w:rFonts w:hint="eastAsia" w:ascii="仿宋_GB2312" w:hAnsi="仿宋_GB2312" w:eastAsia="仿宋_GB2312" w:cs="仿宋_GB2312"/>
          <w:color w:val="000000"/>
          <w:sz w:val="32"/>
          <w:szCs w:val="32"/>
          <w:lang w:val="en-US" w:eastAsia="zh-CN"/>
        </w:rPr>
        <w:t>94</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eastAsia="zh-CN"/>
        </w:rPr>
        <w:t>财政应返还额度</w:t>
      </w:r>
      <w:r>
        <w:rPr>
          <w:rFonts w:hint="eastAsia" w:ascii="仿宋_GB2312" w:hAnsi="仿宋_GB2312" w:eastAsia="仿宋_GB2312" w:cs="仿宋_GB2312"/>
          <w:color w:val="000000"/>
          <w:sz w:val="32"/>
          <w:szCs w:val="32"/>
          <w:lang w:val="en-US" w:eastAsia="zh-CN"/>
        </w:rPr>
        <w:t>46.96万元,</w:t>
      </w:r>
      <w:r>
        <w:rPr>
          <w:rFonts w:hint="eastAsia" w:ascii="仿宋_GB2312" w:hAnsi="仿宋_GB2312" w:eastAsia="仿宋_GB2312" w:cs="仿宋_GB2312"/>
          <w:color w:val="000000"/>
          <w:sz w:val="32"/>
          <w:szCs w:val="32"/>
          <w:lang w:eastAsia="zh-CN"/>
        </w:rPr>
        <w:t>占</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eastAsia="zh-CN"/>
        </w:rPr>
        <w:t>%。</w:t>
      </w:r>
    </w:p>
    <w:p>
      <w:pPr>
        <w:spacing w:line="600" w:lineRule="exact"/>
        <w:ind w:firstLine="640" w:firstLineChars="200"/>
        <w:rPr>
          <w:rFonts w:hint="eastAsia" w:ascii="仿宋" w:hAnsi="仿宋" w:eastAsia="仿宋"/>
          <w:color w:val="000000" w:themeColor="text1"/>
          <w:sz w:val="32"/>
          <w:szCs w:val="32"/>
        </w:rPr>
      </w:pPr>
      <w:r>
        <w:rPr>
          <w:rFonts w:hint="eastAsia" w:ascii="仿宋_GB2312" w:hAnsi="仿宋_GB2312" w:eastAsia="仿宋_GB2312" w:cs="仿宋_GB2312"/>
          <w:color w:val="000000"/>
          <w:sz w:val="32"/>
          <w:szCs w:val="32"/>
        </w:rPr>
        <w:drawing>
          <wp:anchor distT="0" distB="0" distL="114300" distR="114300" simplePos="0" relativeHeight="251669504" behindDoc="0" locked="0" layoutInCell="1" allowOverlap="1">
            <wp:simplePos x="0" y="0"/>
            <wp:positionH relativeFrom="column">
              <wp:posOffset>871220</wp:posOffset>
            </wp:positionH>
            <wp:positionV relativeFrom="paragraph">
              <wp:posOffset>137160</wp:posOffset>
            </wp:positionV>
            <wp:extent cx="3188335" cy="1769745"/>
            <wp:effectExtent l="0" t="0" r="12065" b="1905"/>
            <wp:wrapSquare wrapText="bothSides"/>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spacing w:line="600" w:lineRule="exact"/>
        <w:rPr>
          <w:rFonts w:hint="default" w:ascii="仿宋_GB2312" w:eastAsia="仿宋_GB2312"/>
          <w:color w:val="FF0000"/>
          <w:sz w:val="32"/>
          <w:szCs w:val="32"/>
          <w:lang w:val="en-US" w:eastAsia="zh-CN"/>
        </w:rPr>
      </w:pPr>
    </w:p>
    <w:p>
      <w:pPr>
        <w:pStyle w:val="24"/>
        <w:numPr>
          <w:ilvl w:val="0"/>
          <w:numId w:val="2"/>
        </w:numPr>
        <w:spacing w:line="600" w:lineRule="exact"/>
        <w:ind w:firstLineChars="0"/>
        <w:outlineLvl w:val="1"/>
        <w:rPr>
          <w:rStyle w:val="26"/>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600" w:lineRule="exact"/>
        <w:ind w:firstLine="640"/>
        <w:rPr>
          <w:rFonts w:hint="eastAsia" w:ascii="仿宋" w:hAnsi="仿宋" w:eastAsia="仿宋"/>
          <w:color w:val="000000"/>
          <w:sz w:val="32"/>
          <w:szCs w:val="32"/>
          <w:lang w:eastAsia="zh-CN"/>
        </w:rPr>
      </w:pPr>
      <w:r>
        <w:rPr>
          <w:rFonts w:hint="eastAsia" w:ascii="仿宋_GB2312" w:hAnsi="仿宋_GB2312" w:eastAsia="仿宋_GB2312" w:cs="仿宋_GB2312"/>
          <w:color w:val="000000"/>
          <w:sz w:val="32"/>
          <w:szCs w:val="32"/>
          <w:lang w:eastAsia="zh-CN"/>
        </w:rPr>
        <w:drawing>
          <wp:anchor distT="0" distB="0" distL="114300" distR="114300" simplePos="0" relativeHeight="251692032" behindDoc="0" locked="0" layoutInCell="1" allowOverlap="1">
            <wp:simplePos x="0" y="0"/>
            <wp:positionH relativeFrom="column">
              <wp:posOffset>711200</wp:posOffset>
            </wp:positionH>
            <wp:positionV relativeFrom="paragraph">
              <wp:posOffset>807085</wp:posOffset>
            </wp:positionV>
            <wp:extent cx="3656965" cy="2118995"/>
            <wp:effectExtent l="0" t="0" r="635" b="1460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_GB2312" w:hAnsi="仿宋_GB2312" w:eastAsia="仿宋_GB2312" w:cs="仿宋_GB2312"/>
          <w:color w:val="000000"/>
          <w:sz w:val="32"/>
          <w:szCs w:val="32"/>
          <w:lang w:eastAsia="zh-CN"/>
        </w:rPr>
        <w:t>2019年本年支出合计</w:t>
      </w:r>
      <w:r>
        <w:rPr>
          <w:rFonts w:hint="eastAsia" w:ascii="仿宋_GB2312" w:hAnsi="仿宋_GB2312" w:eastAsia="仿宋_GB2312" w:cs="仿宋_GB2312"/>
          <w:color w:val="000000"/>
          <w:sz w:val="32"/>
          <w:szCs w:val="32"/>
          <w:lang w:val="en-US" w:eastAsia="zh-CN"/>
        </w:rPr>
        <w:t>808.55</w:t>
      </w:r>
      <w:r>
        <w:rPr>
          <w:rFonts w:hint="eastAsia" w:ascii="仿宋_GB2312" w:hAnsi="仿宋_GB2312" w:eastAsia="仿宋_GB2312" w:cs="仿宋_GB2312"/>
          <w:color w:val="000000"/>
          <w:sz w:val="32"/>
          <w:szCs w:val="32"/>
          <w:lang w:eastAsia="zh-CN"/>
        </w:rPr>
        <w:t>万元，其中：基本支出</w:t>
      </w:r>
      <w:r>
        <w:rPr>
          <w:rFonts w:hint="eastAsia" w:ascii="仿宋_GB2312" w:hAnsi="仿宋_GB2312" w:eastAsia="仿宋_GB2312" w:cs="仿宋_GB2312"/>
          <w:color w:val="000000"/>
          <w:sz w:val="32"/>
          <w:szCs w:val="32"/>
          <w:lang w:val="en-US" w:eastAsia="zh-CN"/>
        </w:rPr>
        <w:t>808.55</w:t>
      </w:r>
      <w:r>
        <w:rPr>
          <w:rFonts w:hint="eastAsia" w:ascii="仿宋_GB2312" w:hAnsi="仿宋_GB2312" w:eastAsia="仿宋_GB2312" w:cs="仿宋_GB2312"/>
          <w:color w:val="000000"/>
          <w:sz w:val="32"/>
          <w:szCs w:val="32"/>
          <w:lang w:eastAsia="zh-CN"/>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lang w:eastAsia="zh-CN"/>
        </w:rPr>
        <w:t>%；项目支出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lang w:eastAsia="zh-CN"/>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lang w:eastAsia="zh-CN"/>
        </w:rPr>
        <w:t>%。</w:t>
      </w:r>
    </w:p>
    <w:p>
      <w:pPr>
        <w:spacing w:line="600" w:lineRule="exact"/>
        <w:ind w:firstLine="640"/>
        <w:rPr>
          <w:rFonts w:hint="eastAsia" w:ascii="仿宋" w:hAnsi="仿宋" w:eastAsia="仿宋"/>
          <w:color w:val="000000"/>
          <w:sz w:val="32"/>
          <w:szCs w:val="32"/>
          <w:lang w:val="en-US" w:eastAsia="zh-CN"/>
        </w:rPr>
      </w:pP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rPr>
        <w:t>（图3：支出决算结构图）（饼状图）</w:t>
      </w:r>
    </w:p>
    <w:p>
      <w:pPr>
        <w:spacing w:line="600" w:lineRule="exact"/>
        <w:ind w:firstLine="640" w:firstLineChars="200"/>
        <w:outlineLvl w:val="1"/>
        <w:rPr>
          <w:rStyle w:val="26"/>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spacing w:line="60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rPr>
        <w:drawing>
          <wp:anchor distT="0" distB="0" distL="114300" distR="114300" simplePos="0" relativeHeight="251716608" behindDoc="0" locked="0" layoutInCell="1" allowOverlap="1">
            <wp:simplePos x="0" y="0"/>
            <wp:positionH relativeFrom="column">
              <wp:posOffset>1009015</wp:posOffset>
            </wp:positionH>
            <wp:positionV relativeFrom="paragraph">
              <wp:posOffset>1317625</wp:posOffset>
            </wp:positionV>
            <wp:extent cx="3245485" cy="2111375"/>
            <wp:effectExtent l="5080" t="5080" r="6985" b="17145"/>
            <wp:wrapTopAndBottom/>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hAnsi="仿宋" w:eastAsia="仿宋_GB2312"/>
          <w:sz w:val="32"/>
          <w:szCs w:val="32"/>
        </w:rPr>
        <w:t>2019年财政拨款收、支总计</w:t>
      </w:r>
      <w:r>
        <w:rPr>
          <w:rFonts w:hint="eastAsia" w:ascii="仿宋_GB2312" w:hAnsi="仿宋" w:eastAsia="仿宋_GB2312"/>
          <w:sz w:val="32"/>
          <w:szCs w:val="32"/>
          <w:lang w:val="en-US" w:eastAsia="zh-CN"/>
        </w:rPr>
        <w:t>808.55</w:t>
      </w:r>
      <w:r>
        <w:rPr>
          <w:rFonts w:hint="eastAsia" w:ascii="仿宋_GB2312" w:hAnsi="仿宋" w:eastAsia="仿宋_GB2312"/>
          <w:sz w:val="32"/>
          <w:szCs w:val="32"/>
        </w:rPr>
        <w:t>万元。与201</w:t>
      </w:r>
      <w:r>
        <w:rPr>
          <w:rFonts w:hint="eastAsia" w:ascii="仿宋_GB2312" w:hAnsi="仿宋" w:eastAsia="仿宋_GB2312"/>
          <w:sz w:val="32"/>
          <w:szCs w:val="32"/>
          <w:lang w:val="en-US" w:eastAsia="zh-CN"/>
        </w:rPr>
        <w:t>8</w:t>
      </w:r>
      <w:r>
        <w:rPr>
          <w:rFonts w:hint="eastAsia" w:ascii="仿宋_GB2312" w:hAnsi="仿宋" w:eastAsia="仿宋_GB2312"/>
          <w:sz w:val="32"/>
          <w:szCs w:val="32"/>
        </w:rPr>
        <w:t>年相比，财政拨款收、支总计各增加</w:t>
      </w:r>
      <w:r>
        <w:rPr>
          <w:rFonts w:hint="eastAsia" w:ascii="仿宋_GB2312" w:hAnsi="仿宋" w:eastAsia="仿宋_GB2312"/>
          <w:sz w:val="32"/>
          <w:szCs w:val="32"/>
          <w:lang w:val="en-US" w:eastAsia="zh-CN"/>
        </w:rPr>
        <w:t>240.70</w:t>
      </w:r>
      <w:r>
        <w:rPr>
          <w:rFonts w:hint="eastAsia" w:ascii="仿宋_GB2312" w:hAnsi="仿宋" w:eastAsia="仿宋_GB2312"/>
          <w:sz w:val="32"/>
          <w:szCs w:val="32"/>
        </w:rPr>
        <w:t>万元，增长主要变动原因是本年度</w:t>
      </w:r>
      <w:r>
        <w:rPr>
          <w:rFonts w:hint="eastAsia" w:ascii="仿宋_GB2312" w:hAnsi="仿宋" w:eastAsia="仿宋_GB2312"/>
          <w:sz w:val="32"/>
          <w:szCs w:val="32"/>
          <w:lang w:eastAsia="zh-CN"/>
        </w:rPr>
        <w:t>派驻纪检监察组合署办公</w:t>
      </w:r>
      <w:r>
        <w:rPr>
          <w:rFonts w:hint="eastAsia" w:ascii="仿宋_GB2312" w:hAnsi="仿宋" w:eastAsia="仿宋_GB2312"/>
          <w:sz w:val="32"/>
          <w:szCs w:val="32"/>
        </w:rPr>
        <w:t>人员</w:t>
      </w:r>
      <w:r>
        <w:rPr>
          <w:rFonts w:hint="eastAsia" w:ascii="仿宋_GB2312" w:hAnsi="仿宋" w:eastAsia="仿宋_GB2312"/>
          <w:sz w:val="32"/>
          <w:szCs w:val="32"/>
          <w:lang w:eastAsia="zh-CN"/>
        </w:rPr>
        <w:t>经费</w:t>
      </w:r>
      <w:r>
        <w:rPr>
          <w:rFonts w:hint="eastAsia" w:ascii="仿宋_GB2312" w:hAnsi="仿宋" w:eastAsia="仿宋_GB2312"/>
          <w:sz w:val="32"/>
          <w:szCs w:val="32"/>
        </w:rPr>
        <w:t>增加</w:t>
      </w:r>
      <w:r>
        <w:rPr>
          <w:rFonts w:hint="eastAsia" w:ascii="仿宋_GB2312" w:hAnsi="仿宋" w:eastAsia="仿宋_GB2312"/>
          <w:sz w:val="32"/>
          <w:szCs w:val="32"/>
          <w:lang w:eastAsia="zh-CN"/>
        </w:rPr>
        <w:t>。</w:t>
      </w:r>
    </w:p>
    <w:p>
      <w:pPr>
        <w:spacing w:line="600" w:lineRule="exact"/>
        <w:ind w:firstLine="640" w:firstLineChars="200"/>
        <w:rPr>
          <w:rFonts w:hint="eastAsia" w:ascii="仿宋_GB2312" w:hAnsi="仿宋" w:eastAsia="仿宋_GB2312"/>
          <w:sz w:val="32"/>
          <w:szCs w:val="32"/>
          <w:lang w:eastAsia="zh-CN"/>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rPr>
          <w:rFonts w:ascii="仿宋" w:hAnsi="仿宋" w:eastAsia="仿宋"/>
          <w:b/>
          <w:color w:val="00B050"/>
          <w:sz w:val="32"/>
          <w:szCs w:val="32"/>
        </w:rPr>
      </w:pPr>
      <w:r>
        <w:rPr>
          <w:rFonts w:hint="eastAsia" w:ascii="仿宋" w:hAnsi="仿宋" w:eastAsia="仿宋"/>
          <w:b/>
          <w:color w:val="000000" w:themeColor="text1"/>
          <w:sz w:val="32"/>
          <w:szCs w:val="32"/>
        </w:rPr>
        <w:t>（除国有资本经营预算外，数据来源于财决</w:t>
      </w:r>
      <w:r>
        <w:rPr>
          <w:rFonts w:ascii="仿宋" w:hAnsi="仿宋" w:eastAsia="仿宋"/>
          <w:b/>
          <w:color w:val="000000" w:themeColor="text1"/>
          <w:sz w:val="32"/>
          <w:szCs w:val="32"/>
        </w:rPr>
        <w:t>Z01-1</w:t>
      </w:r>
      <w:r>
        <w:rPr>
          <w:rFonts w:hint="eastAsia" w:ascii="仿宋" w:hAnsi="仿宋" w:eastAsia="仿宋"/>
          <w:b/>
          <w:color w:val="000000" w:themeColor="text1"/>
          <w:sz w:val="32"/>
          <w:szCs w:val="32"/>
        </w:rPr>
        <w:t>表，口径为“总计”数+国有资本经营预算。）</w:t>
      </w:r>
    </w:p>
    <w:p>
      <w:pPr>
        <w:spacing w:line="600" w:lineRule="exact"/>
        <w:ind w:firstLine="640" w:firstLineChars="200"/>
        <w:outlineLvl w:val="1"/>
        <w:rPr>
          <w:rStyle w:val="26"/>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0"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eastAsia="zh-CN"/>
        </w:rPr>
        <w:t>2019年一般公共预算财政拨款支出</w:t>
      </w:r>
      <w:r>
        <w:rPr>
          <w:rFonts w:hint="eastAsia" w:ascii="仿宋_GB2312" w:hAnsi="仿宋" w:eastAsia="仿宋_GB2312"/>
          <w:sz w:val="32"/>
          <w:szCs w:val="32"/>
          <w:lang w:val="en-US" w:eastAsia="zh-CN"/>
        </w:rPr>
        <w:t>808.55</w:t>
      </w:r>
      <w:r>
        <w:rPr>
          <w:rFonts w:hint="eastAsia" w:ascii="仿宋_GB2312" w:hAnsi="仿宋" w:eastAsia="仿宋_GB2312"/>
          <w:sz w:val="32"/>
          <w:szCs w:val="32"/>
          <w:lang w:eastAsia="zh-CN"/>
        </w:rPr>
        <w:t>万元，占本年支出合计的</w:t>
      </w:r>
      <w:r>
        <w:rPr>
          <w:rFonts w:hint="eastAsia" w:ascii="仿宋_GB2312" w:hAnsi="仿宋" w:eastAsia="仿宋_GB2312"/>
          <w:sz w:val="32"/>
          <w:szCs w:val="32"/>
          <w:lang w:val="en-US" w:eastAsia="zh-CN"/>
        </w:rPr>
        <w:t>100</w:t>
      </w:r>
      <w:r>
        <w:rPr>
          <w:rFonts w:hint="eastAsia" w:ascii="仿宋_GB2312" w:hAnsi="仿宋" w:eastAsia="仿宋_GB2312"/>
          <w:sz w:val="32"/>
          <w:szCs w:val="32"/>
          <w:lang w:eastAsia="zh-CN"/>
        </w:rPr>
        <w:t>%。与2018年相比，一般公共预算财政拨款增加</w:t>
      </w:r>
      <w:r>
        <w:rPr>
          <w:rFonts w:hint="eastAsia" w:ascii="仿宋_GB2312" w:hAnsi="仿宋" w:eastAsia="仿宋_GB2312"/>
          <w:sz w:val="32"/>
          <w:szCs w:val="32"/>
          <w:lang w:val="en-US" w:eastAsia="zh-CN"/>
        </w:rPr>
        <w:t>174.21</w:t>
      </w:r>
      <w:r>
        <w:rPr>
          <w:rFonts w:hint="eastAsia" w:ascii="仿宋_GB2312" w:hAnsi="仿宋" w:eastAsia="仿宋_GB2312"/>
          <w:sz w:val="32"/>
          <w:szCs w:val="32"/>
          <w:lang w:eastAsia="zh-CN"/>
        </w:rPr>
        <w:t>万元，增长</w:t>
      </w:r>
      <w:r>
        <w:rPr>
          <w:rFonts w:hint="eastAsia" w:ascii="仿宋_GB2312" w:hAnsi="仿宋" w:eastAsia="仿宋_GB2312"/>
          <w:sz w:val="32"/>
          <w:szCs w:val="32"/>
          <w:lang w:val="en-US" w:eastAsia="zh-CN"/>
        </w:rPr>
        <w:t>27</w:t>
      </w:r>
      <w:r>
        <w:rPr>
          <w:rFonts w:hint="eastAsia" w:ascii="仿宋_GB2312" w:hAnsi="仿宋" w:eastAsia="仿宋_GB2312"/>
          <w:sz w:val="32"/>
          <w:szCs w:val="32"/>
          <w:lang w:eastAsia="zh-CN"/>
        </w:rPr>
        <w:t>%。主要变动原因是本年度</w:t>
      </w:r>
      <w:r>
        <w:rPr>
          <w:rFonts w:hint="eastAsia" w:ascii="仿宋_GB2312" w:hAnsi="仿宋" w:eastAsia="仿宋_GB2312"/>
          <w:sz w:val="32"/>
          <w:szCs w:val="32"/>
          <w:lang w:eastAsia="zh-CN"/>
        </w:rPr>
        <w:t>派驻纪检监察组合署办公人员</w:t>
      </w:r>
      <w:r>
        <w:rPr>
          <w:rFonts w:hint="eastAsia" w:ascii="仿宋_GB2312" w:hAnsi="仿宋" w:eastAsia="仿宋_GB2312"/>
          <w:sz w:val="32"/>
          <w:szCs w:val="32"/>
          <w:lang w:eastAsia="zh-CN"/>
        </w:rPr>
        <w:t>经费增加</w:t>
      </w:r>
      <w:r>
        <w:rPr>
          <w:rFonts w:hint="eastAsia" w:ascii="仿宋_GB2312" w:hAnsi="仿宋" w:eastAsia="仿宋_GB2312"/>
          <w:sz w:val="32"/>
          <w:szCs w:val="32"/>
          <w:lang w:eastAsia="zh-CN"/>
        </w:rPr>
        <w:t>。</w:t>
      </w:r>
    </w:p>
    <w:p>
      <w:pPr>
        <w:spacing w:line="600" w:lineRule="exact"/>
        <w:ind w:firstLine="640" w:firstLineChars="200"/>
        <w:rPr>
          <w:rFonts w:hint="eastAsia" w:ascii="仿宋" w:hAnsi="仿宋" w:eastAsia="仿宋"/>
          <w:color w:val="000000"/>
          <w:sz w:val="32"/>
          <w:szCs w:val="32"/>
        </w:rPr>
      </w:pPr>
      <w:r>
        <w:rPr>
          <w:rFonts w:hint="eastAsia" w:ascii="仿宋_GB2312" w:hAnsi="仿宋_GB2312" w:eastAsia="仿宋_GB2312" w:cs="仿宋_GB2312"/>
          <w:sz w:val="32"/>
          <w:szCs w:val="32"/>
        </w:rPr>
        <w:drawing>
          <wp:anchor distT="0" distB="0" distL="114300" distR="114300" simplePos="0" relativeHeight="251765760" behindDoc="0" locked="0" layoutInCell="1" allowOverlap="1">
            <wp:simplePos x="0" y="0"/>
            <wp:positionH relativeFrom="column">
              <wp:posOffset>642620</wp:posOffset>
            </wp:positionH>
            <wp:positionV relativeFrom="paragraph">
              <wp:posOffset>64770</wp:posOffset>
            </wp:positionV>
            <wp:extent cx="3864610" cy="2235200"/>
            <wp:effectExtent l="4445" t="4445" r="17145" b="8255"/>
            <wp:wrapTopAndBottom/>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spacing w:line="600" w:lineRule="exact"/>
        <w:ind w:firstLine="640"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rPr>
        <w:t>2019年一般公共预算财政拨款支出</w:t>
      </w:r>
      <w:r>
        <w:rPr>
          <w:rFonts w:hint="eastAsia" w:ascii="仿宋_GB2312" w:eastAsia="仿宋_GB2312"/>
          <w:color w:val="000000"/>
          <w:sz w:val="32"/>
          <w:szCs w:val="32"/>
          <w:lang w:val="en-US" w:eastAsia="zh-CN"/>
        </w:rPr>
        <w:t>808.55</w:t>
      </w:r>
      <w:r>
        <w:rPr>
          <w:rFonts w:hint="eastAsia" w:ascii="仿宋_GB2312" w:eastAsia="仿宋_GB2312"/>
          <w:color w:val="000000"/>
          <w:sz w:val="32"/>
          <w:szCs w:val="32"/>
        </w:rPr>
        <w:t>万元，主要用于以下方面:一般公共服务支出</w:t>
      </w:r>
      <w:r>
        <w:rPr>
          <w:rFonts w:hint="eastAsia" w:ascii="仿宋_GB2312" w:eastAsia="仿宋_GB2312"/>
          <w:color w:val="000000"/>
          <w:sz w:val="32"/>
          <w:szCs w:val="32"/>
          <w:lang w:val="en-US" w:eastAsia="zh-CN"/>
        </w:rPr>
        <w:t>545.86</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67.51</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78.77</w:t>
      </w:r>
      <w:r>
        <w:rPr>
          <w:rFonts w:hint="eastAsia" w:ascii="仿宋_GB2312" w:eastAsia="仿宋_GB2312"/>
          <w:color w:val="000000"/>
          <w:sz w:val="32"/>
          <w:szCs w:val="32"/>
        </w:rPr>
        <w:t>万元，占9.</w:t>
      </w:r>
      <w:r>
        <w:rPr>
          <w:rFonts w:hint="eastAsia" w:ascii="仿宋_GB2312" w:eastAsia="仿宋_GB2312"/>
          <w:color w:val="000000"/>
          <w:sz w:val="32"/>
          <w:szCs w:val="32"/>
          <w:lang w:val="en-US" w:eastAsia="zh-CN"/>
        </w:rPr>
        <w:t>74</w:t>
      </w:r>
      <w:r>
        <w:rPr>
          <w:rFonts w:hint="eastAsia" w:ascii="仿宋_GB2312" w:eastAsia="仿宋_GB2312"/>
          <w:color w:val="000000"/>
          <w:sz w:val="32"/>
          <w:szCs w:val="32"/>
        </w:rPr>
        <w:t>%；医疗卫生支出</w:t>
      </w:r>
      <w:r>
        <w:rPr>
          <w:rFonts w:hint="eastAsia" w:ascii="仿宋_GB2312" w:eastAsia="仿宋_GB2312"/>
          <w:color w:val="000000"/>
          <w:sz w:val="32"/>
          <w:szCs w:val="32"/>
          <w:lang w:val="en-US" w:eastAsia="zh-CN"/>
        </w:rPr>
        <w:t>28.91</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3.57</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49.65</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6.14</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lang w:val="en-US" w:eastAsia="zh-CN"/>
        </w:rPr>
        <w:t>105.37万元，占13.03%。</w:t>
      </w:r>
    </w:p>
    <w:p>
      <w:pPr>
        <w:spacing w:line="600" w:lineRule="exact"/>
        <w:ind w:firstLine="640"/>
        <w:rPr>
          <w:rFonts w:ascii="仿宋" w:hAnsi="仿宋" w:eastAsia="仿宋"/>
          <w:color w:val="000000" w:themeColor="text1"/>
          <w:sz w:val="32"/>
          <w:szCs w:val="32"/>
        </w:rPr>
      </w:pPr>
      <w:r>
        <w:rPr>
          <w:rFonts w:hint="eastAsia" w:ascii="仿宋_GB2312" w:eastAsia="仿宋_GB2312"/>
          <w:color w:val="000000"/>
          <w:sz w:val="32"/>
          <w:szCs w:val="32"/>
        </w:rPr>
        <w:drawing>
          <wp:anchor distT="0" distB="0" distL="114300" distR="114300" simplePos="0" relativeHeight="251774976" behindDoc="0" locked="0" layoutInCell="1" allowOverlap="1">
            <wp:simplePos x="0" y="0"/>
            <wp:positionH relativeFrom="column">
              <wp:posOffset>1018540</wp:posOffset>
            </wp:positionH>
            <wp:positionV relativeFrom="paragraph">
              <wp:posOffset>66040</wp:posOffset>
            </wp:positionV>
            <wp:extent cx="3181350" cy="2395855"/>
            <wp:effectExtent l="0" t="0" r="0" b="444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0"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0" w:firstLineChars="200"/>
        <w:outlineLvl w:val="2"/>
        <w:rPr>
          <w:rFonts w:ascii="仿宋" w:hAnsi="仿宋" w:eastAsia="仿宋"/>
          <w:color w:val="FF0000"/>
          <w:sz w:val="32"/>
          <w:szCs w:val="32"/>
        </w:rPr>
      </w:pPr>
      <w:bookmarkStart w:id="37" w:name="_Toc15378460"/>
      <w:bookmarkStart w:id="38" w:name="_Toc15377444"/>
      <w:bookmarkStart w:id="39" w:name="_Toc15377213"/>
      <w:r>
        <w:rPr>
          <w:rFonts w:hint="eastAsia" w:ascii="仿宋" w:hAnsi="仿宋" w:eastAsia="仿宋"/>
          <w:b/>
          <w:color w:val="000000" w:themeColor="text1"/>
          <w:sz w:val="32"/>
          <w:szCs w:val="32"/>
        </w:rPr>
        <w:t>2019年般公共预算支出决算数为</w:t>
      </w:r>
      <w:r>
        <w:rPr>
          <w:rFonts w:hint="eastAsia" w:ascii="仿宋" w:hAnsi="仿宋" w:eastAsia="仿宋"/>
          <w:b/>
          <w:color w:val="000000" w:themeColor="text1"/>
          <w:sz w:val="32"/>
          <w:szCs w:val="32"/>
          <w:lang w:val="en-US" w:eastAsia="zh-CN"/>
        </w:rPr>
        <w:t>808.55万元</w:t>
      </w:r>
      <w:r>
        <w:rPr>
          <w:rFonts w:hint="eastAsia" w:ascii="仿宋" w:hAnsi="仿宋" w:eastAsia="仿宋"/>
          <w:color w:val="000000" w:themeColor="text1"/>
          <w:sz w:val="32"/>
          <w:szCs w:val="32"/>
        </w:rPr>
        <w:t>，</w:t>
      </w:r>
      <w:r>
        <w:rPr>
          <w:rStyle w:val="15"/>
          <w:rFonts w:hint="eastAsia" w:ascii="仿宋" w:hAnsi="仿宋" w:eastAsia="仿宋"/>
          <w:bCs/>
          <w:color w:val="000000" w:themeColor="text1"/>
          <w:sz w:val="32"/>
          <w:szCs w:val="32"/>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7"/>
      <w:bookmarkEnd w:id="38"/>
      <w:bookmarkEnd w:id="39"/>
    </w:p>
    <w:p>
      <w:pPr>
        <w:snapToGrid w:val="0"/>
        <w:spacing w:line="576" w:lineRule="exact"/>
        <w:ind w:firstLine="643" w:firstLineChars="200"/>
        <w:rPr>
          <w:rFonts w:ascii="仿宋_GB2312" w:hAnsi="仿宋" w:eastAsia="仿宋_GB2312"/>
          <w:sz w:val="32"/>
          <w:szCs w:val="32"/>
        </w:rPr>
      </w:pPr>
      <w:r>
        <w:rPr>
          <w:rStyle w:val="15"/>
          <w:rFonts w:hint="eastAsia" w:ascii="仿宋_GB2312" w:eastAsia="仿宋_GB2312"/>
          <w:color w:val="000000"/>
          <w:sz w:val="32"/>
          <w:szCs w:val="32"/>
        </w:rPr>
        <w:t>1.一般公共服务2011101:</w:t>
      </w:r>
      <w:r>
        <w:rPr>
          <w:rStyle w:val="15"/>
          <w:rFonts w:hint="eastAsia" w:ascii="仿宋_GB2312" w:eastAsia="仿宋_GB2312"/>
          <w:b w:val="0"/>
          <w:color w:val="000000"/>
          <w:sz w:val="32"/>
          <w:szCs w:val="32"/>
        </w:rPr>
        <w:t xml:space="preserve"> 支出决算为</w:t>
      </w:r>
      <w:r>
        <w:rPr>
          <w:rFonts w:hint="eastAsia" w:ascii="仿宋_GB2312" w:hAnsi="仿宋" w:eastAsia="仿宋_GB2312"/>
          <w:sz w:val="32"/>
          <w:szCs w:val="32"/>
          <w:lang w:val="en-US" w:eastAsia="zh-CN"/>
        </w:rPr>
        <w:t>545.86</w:t>
      </w:r>
      <w:r>
        <w:rPr>
          <w:rStyle w:val="15"/>
          <w:rFonts w:hint="eastAsia" w:ascii="仿宋_GB2312" w:eastAsia="仿宋_GB2312"/>
          <w:b w:val="0"/>
          <w:color w:val="000000"/>
          <w:sz w:val="32"/>
          <w:szCs w:val="32"/>
        </w:rPr>
        <w:t>万元，完成预算1</w:t>
      </w:r>
      <w:r>
        <w:rPr>
          <w:rStyle w:val="15"/>
          <w:rFonts w:hint="eastAsia" w:ascii="仿宋_GB2312" w:eastAsia="仿宋_GB2312"/>
          <w:b w:val="0"/>
          <w:color w:val="000000"/>
          <w:sz w:val="32"/>
          <w:szCs w:val="32"/>
          <w:lang w:val="en-US" w:eastAsia="zh-CN"/>
        </w:rPr>
        <w:t>19</w:t>
      </w:r>
      <w:r>
        <w:rPr>
          <w:rStyle w:val="15"/>
          <w:rFonts w:hint="eastAsia" w:ascii="仿宋_GB2312" w:eastAsia="仿宋_GB2312"/>
          <w:b w:val="0"/>
          <w:color w:val="000000"/>
          <w:sz w:val="32"/>
          <w:szCs w:val="32"/>
        </w:rPr>
        <w:t>%。</w:t>
      </w:r>
      <w:r>
        <w:rPr>
          <w:rFonts w:hint="eastAsia" w:ascii="仿宋_GB2312" w:hAnsi="仿宋" w:eastAsia="仿宋_GB2312"/>
          <w:sz w:val="32"/>
          <w:szCs w:val="32"/>
        </w:rPr>
        <w:t xml:space="preserve"> </w:t>
      </w:r>
    </w:p>
    <w:p>
      <w:pPr>
        <w:spacing w:line="576" w:lineRule="exact"/>
        <w:ind w:firstLine="643" w:firstLineChars="200"/>
        <w:rPr>
          <w:rFonts w:ascii="仿宋_GB2312" w:eastAsia="仿宋_GB2312"/>
          <w:b/>
          <w:color w:val="000000"/>
          <w:sz w:val="32"/>
          <w:szCs w:val="32"/>
        </w:rPr>
      </w:pPr>
      <w:r>
        <w:rPr>
          <w:rStyle w:val="15"/>
          <w:rFonts w:hint="eastAsia" w:ascii="仿宋_GB2312" w:eastAsia="仿宋_GB2312"/>
          <w:color w:val="000000"/>
          <w:sz w:val="32"/>
          <w:szCs w:val="32"/>
        </w:rPr>
        <w:t>2.社会保障和就业:</w:t>
      </w:r>
      <w:r>
        <w:rPr>
          <w:rStyle w:val="15"/>
          <w:rFonts w:hint="eastAsia" w:ascii="仿宋_GB2312" w:eastAsia="仿宋_GB2312"/>
          <w:b w:val="0"/>
          <w:color w:val="000000"/>
          <w:sz w:val="32"/>
          <w:szCs w:val="32"/>
        </w:rPr>
        <w:t xml:space="preserve"> </w:t>
      </w:r>
      <w:r>
        <w:rPr>
          <w:rFonts w:hint="eastAsia" w:ascii="仿宋_GB2312" w:hAnsi="仿宋" w:eastAsia="仿宋_GB2312"/>
          <w:sz w:val="32"/>
          <w:szCs w:val="32"/>
        </w:rPr>
        <w:t>2080505金额</w:t>
      </w:r>
      <w:r>
        <w:rPr>
          <w:rFonts w:hint="eastAsia" w:ascii="仿宋_GB2312" w:hAnsi="仿宋" w:eastAsia="仿宋_GB2312"/>
          <w:sz w:val="32"/>
          <w:szCs w:val="32"/>
          <w:lang w:val="en-US" w:eastAsia="zh-CN"/>
        </w:rPr>
        <w:t>53.56</w:t>
      </w:r>
      <w:r>
        <w:rPr>
          <w:rFonts w:hint="eastAsia" w:ascii="仿宋_GB2312" w:hAnsi="仿宋" w:eastAsia="仿宋_GB2312"/>
          <w:sz w:val="32"/>
          <w:szCs w:val="32"/>
        </w:rPr>
        <w:t>万元， 2080506金额</w:t>
      </w:r>
      <w:r>
        <w:rPr>
          <w:rFonts w:hint="eastAsia" w:ascii="仿宋_GB2312" w:hAnsi="仿宋" w:eastAsia="仿宋_GB2312"/>
          <w:sz w:val="32"/>
          <w:szCs w:val="32"/>
          <w:lang w:val="en-US" w:eastAsia="zh-CN"/>
        </w:rPr>
        <w:t>25.21</w:t>
      </w:r>
      <w:r>
        <w:rPr>
          <w:rFonts w:hint="eastAsia" w:ascii="仿宋_GB2312" w:hAnsi="仿宋" w:eastAsia="仿宋_GB2312"/>
          <w:sz w:val="32"/>
          <w:szCs w:val="32"/>
        </w:rPr>
        <w:t>万元，</w:t>
      </w:r>
      <w:r>
        <w:rPr>
          <w:rStyle w:val="15"/>
          <w:rFonts w:hint="eastAsia" w:ascii="仿宋_GB2312" w:eastAsia="仿宋_GB2312"/>
          <w:b w:val="0"/>
          <w:color w:val="000000"/>
          <w:sz w:val="32"/>
          <w:szCs w:val="32"/>
        </w:rPr>
        <w:t>支出决算为</w:t>
      </w:r>
      <w:r>
        <w:rPr>
          <w:rFonts w:hint="eastAsia" w:ascii="仿宋_GB2312" w:hAnsi="仿宋" w:eastAsia="仿宋_GB2312"/>
          <w:sz w:val="32"/>
          <w:szCs w:val="32"/>
          <w:lang w:val="en-US" w:eastAsia="zh-CN"/>
        </w:rPr>
        <w:t>78.77</w:t>
      </w:r>
      <w:r>
        <w:rPr>
          <w:rStyle w:val="15"/>
          <w:rFonts w:hint="eastAsia" w:ascii="仿宋_GB2312" w:eastAsia="仿宋_GB2312"/>
          <w:b w:val="0"/>
          <w:color w:val="000000"/>
          <w:sz w:val="32"/>
          <w:szCs w:val="32"/>
        </w:rPr>
        <w:t>万元，完成预算10</w:t>
      </w:r>
      <w:r>
        <w:rPr>
          <w:rStyle w:val="15"/>
          <w:rFonts w:hint="eastAsia" w:ascii="仿宋_GB2312" w:eastAsia="仿宋_GB2312"/>
          <w:b w:val="0"/>
          <w:color w:val="000000"/>
          <w:sz w:val="32"/>
          <w:szCs w:val="32"/>
          <w:lang w:val="en-US" w:eastAsia="zh-CN"/>
        </w:rPr>
        <w:t>4</w:t>
      </w:r>
      <w:r>
        <w:rPr>
          <w:rStyle w:val="15"/>
          <w:rFonts w:hint="eastAsia" w:ascii="仿宋_GB2312" w:eastAsia="仿宋_GB2312"/>
          <w:b w:val="0"/>
          <w:color w:val="000000"/>
          <w:sz w:val="32"/>
          <w:szCs w:val="32"/>
        </w:rPr>
        <w:t>%。</w:t>
      </w:r>
    </w:p>
    <w:p>
      <w:pPr>
        <w:spacing w:line="576" w:lineRule="exact"/>
        <w:ind w:firstLine="643" w:firstLineChars="200"/>
        <w:rPr>
          <w:rStyle w:val="15"/>
          <w:rFonts w:ascii="仿宋_GB2312" w:eastAsia="仿宋_GB2312"/>
          <w:b w:val="0"/>
          <w:color w:val="000000"/>
          <w:sz w:val="32"/>
          <w:szCs w:val="32"/>
        </w:rPr>
      </w:pPr>
      <w:r>
        <w:rPr>
          <w:rStyle w:val="15"/>
          <w:rFonts w:hint="eastAsia" w:ascii="仿宋_GB2312" w:eastAsia="仿宋_GB2312"/>
          <w:color w:val="000000"/>
          <w:sz w:val="32"/>
          <w:szCs w:val="32"/>
        </w:rPr>
        <w:t>3.医疗卫生与计划生育2101101:</w:t>
      </w:r>
      <w:r>
        <w:rPr>
          <w:rStyle w:val="15"/>
          <w:rFonts w:hint="eastAsia" w:ascii="仿宋_GB2312" w:eastAsia="仿宋_GB2312"/>
          <w:b w:val="0"/>
          <w:color w:val="000000"/>
          <w:sz w:val="32"/>
          <w:szCs w:val="32"/>
        </w:rPr>
        <w:t>支出决算为</w:t>
      </w:r>
      <w:r>
        <w:rPr>
          <w:rFonts w:hint="eastAsia" w:ascii="仿宋_GB2312" w:hAnsi="仿宋" w:eastAsia="仿宋_GB2312"/>
          <w:sz w:val="32"/>
          <w:szCs w:val="32"/>
          <w:lang w:val="en-US" w:eastAsia="zh-CN"/>
        </w:rPr>
        <w:t>28.91</w:t>
      </w:r>
      <w:r>
        <w:rPr>
          <w:rStyle w:val="15"/>
          <w:rFonts w:hint="eastAsia" w:ascii="仿宋_GB2312" w:eastAsia="仿宋_GB2312"/>
          <w:b w:val="0"/>
          <w:color w:val="000000"/>
          <w:sz w:val="32"/>
          <w:szCs w:val="32"/>
        </w:rPr>
        <w:t>万元，完成预算</w:t>
      </w:r>
      <w:r>
        <w:rPr>
          <w:rStyle w:val="15"/>
          <w:rFonts w:hint="eastAsia" w:ascii="仿宋_GB2312" w:eastAsia="仿宋_GB2312"/>
          <w:b w:val="0"/>
          <w:color w:val="000000"/>
          <w:sz w:val="32"/>
          <w:szCs w:val="32"/>
          <w:lang w:val="en-US" w:eastAsia="zh-CN"/>
        </w:rPr>
        <w:t>100</w:t>
      </w:r>
      <w:r>
        <w:rPr>
          <w:rStyle w:val="15"/>
          <w:rFonts w:hint="eastAsia" w:ascii="仿宋_GB2312" w:eastAsia="仿宋_GB2312"/>
          <w:b w:val="0"/>
          <w:color w:val="000000"/>
          <w:sz w:val="32"/>
          <w:szCs w:val="32"/>
        </w:rPr>
        <w:t>%。</w:t>
      </w:r>
    </w:p>
    <w:p>
      <w:pPr>
        <w:spacing w:line="576" w:lineRule="exact"/>
        <w:ind w:firstLine="643" w:firstLineChars="200"/>
        <w:rPr>
          <w:rStyle w:val="15"/>
          <w:rFonts w:hint="eastAsia" w:ascii="仿宋_GB2312" w:eastAsia="仿宋_GB2312"/>
          <w:b w:val="0"/>
          <w:color w:val="000000"/>
          <w:sz w:val="32"/>
          <w:szCs w:val="32"/>
        </w:rPr>
      </w:pPr>
      <w:r>
        <w:rPr>
          <w:rFonts w:hint="eastAsia" w:ascii="仿宋_GB2312" w:hAnsi="仿宋" w:eastAsia="仿宋_GB2312"/>
          <w:b/>
          <w:sz w:val="32"/>
          <w:szCs w:val="32"/>
        </w:rPr>
        <w:t>4.住房保障支出2210201：</w:t>
      </w:r>
      <w:r>
        <w:rPr>
          <w:rStyle w:val="15"/>
          <w:rFonts w:hint="eastAsia" w:ascii="仿宋_GB2312" w:eastAsia="仿宋_GB2312"/>
          <w:b w:val="0"/>
          <w:color w:val="000000"/>
          <w:sz w:val="32"/>
          <w:szCs w:val="32"/>
        </w:rPr>
        <w:t>支出决算为</w:t>
      </w:r>
      <w:r>
        <w:rPr>
          <w:rFonts w:hint="eastAsia" w:ascii="仿宋_GB2312" w:hAnsi="仿宋" w:eastAsia="仿宋_GB2312"/>
          <w:sz w:val="32"/>
          <w:szCs w:val="32"/>
          <w:lang w:val="en-US" w:eastAsia="zh-CN"/>
        </w:rPr>
        <w:t>49.65</w:t>
      </w:r>
      <w:r>
        <w:rPr>
          <w:rFonts w:hint="eastAsia" w:ascii="仿宋_GB2312" w:hAnsi="仿宋" w:eastAsia="仿宋_GB2312"/>
          <w:sz w:val="32"/>
          <w:szCs w:val="32"/>
        </w:rPr>
        <w:t>万元，</w:t>
      </w:r>
      <w:r>
        <w:rPr>
          <w:rStyle w:val="15"/>
          <w:rFonts w:hint="eastAsia" w:ascii="仿宋_GB2312" w:eastAsia="仿宋_GB2312"/>
          <w:b w:val="0"/>
          <w:color w:val="000000"/>
          <w:sz w:val="32"/>
          <w:szCs w:val="32"/>
        </w:rPr>
        <w:t>完成预算</w:t>
      </w:r>
      <w:r>
        <w:rPr>
          <w:rStyle w:val="15"/>
          <w:rFonts w:hint="eastAsia" w:ascii="仿宋_GB2312" w:eastAsia="仿宋_GB2312"/>
          <w:b w:val="0"/>
          <w:color w:val="000000"/>
          <w:sz w:val="32"/>
          <w:szCs w:val="32"/>
          <w:lang w:val="en-US" w:eastAsia="zh-CN"/>
        </w:rPr>
        <w:t>103</w:t>
      </w:r>
      <w:r>
        <w:rPr>
          <w:rStyle w:val="15"/>
          <w:rFonts w:hint="eastAsia" w:ascii="仿宋_GB2312" w:eastAsia="仿宋_GB2312"/>
          <w:b w:val="0"/>
          <w:color w:val="000000"/>
          <w:sz w:val="32"/>
          <w:szCs w:val="32"/>
        </w:rPr>
        <w:t>%。</w:t>
      </w:r>
    </w:p>
    <w:p>
      <w:pPr>
        <w:spacing w:line="576" w:lineRule="exact"/>
        <w:ind w:firstLine="643" w:firstLineChars="200"/>
        <w:rPr>
          <w:rFonts w:hint="eastAsia" w:ascii="仿宋_GB2312" w:hAnsi="仿宋_GB2312" w:eastAsia="仿宋_GB2312" w:cs="仿宋_GB2312"/>
          <w:bCs/>
          <w:color w:val="444444"/>
          <w:sz w:val="32"/>
          <w:szCs w:val="32"/>
        </w:rPr>
      </w:pPr>
      <w:r>
        <w:rPr>
          <w:rFonts w:hint="eastAsia" w:ascii="仿宋_GB2312" w:eastAsia="仿宋_GB2312"/>
          <w:b/>
          <w:bCs/>
          <w:color w:val="000000"/>
          <w:sz w:val="32"/>
          <w:szCs w:val="32"/>
          <w:lang w:val="en-US" w:eastAsia="zh-CN"/>
        </w:rPr>
        <w:t>5.2299901</w:t>
      </w:r>
      <w:r>
        <w:rPr>
          <w:rFonts w:hint="eastAsia" w:ascii="仿宋_GB2312" w:eastAsia="仿宋_GB2312"/>
          <w:b/>
          <w:bCs/>
          <w:color w:val="000000"/>
          <w:sz w:val="32"/>
          <w:szCs w:val="32"/>
          <w:lang w:eastAsia="zh-CN"/>
        </w:rPr>
        <w:t>其他支出</w:t>
      </w:r>
      <w:r>
        <w:rPr>
          <w:rFonts w:hint="eastAsia" w:ascii="仿宋_GB2312" w:eastAsia="仿宋_GB2312"/>
          <w:color w:val="000000"/>
          <w:sz w:val="32"/>
          <w:szCs w:val="32"/>
          <w:lang w:val="en-US" w:eastAsia="zh-CN"/>
        </w:rPr>
        <w:t>105.37万元。</w:t>
      </w:r>
    </w:p>
    <w:p>
      <w:pPr>
        <w:spacing w:line="576" w:lineRule="exact"/>
        <w:ind w:firstLine="640" w:firstLineChars="200"/>
        <w:rPr>
          <w:rStyle w:val="15"/>
          <w:rFonts w:hint="eastAsia" w:ascii="仿宋_GB2312" w:eastAsia="仿宋_GB2312"/>
          <w:b w:val="0"/>
          <w:color w:val="000000"/>
          <w:sz w:val="32"/>
          <w:szCs w:val="32"/>
        </w:rPr>
      </w:pPr>
    </w:p>
    <w:p>
      <w:pPr>
        <w:spacing w:line="576" w:lineRule="exact"/>
        <w:ind w:firstLine="640" w:firstLineChars="200"/>
        <w:rPr>
          <w:rStyle w:val="15"/>
          <w:rFonts w:hint="eastAsia" w:ascii="仿宋_GB2312" w:eastAsia="仿宋_GB2312"/>
          <w:b w:val="0"/>
          <w:color w:val="000000"/>
          <w:sz w:val="32"/>
          <w:szCs w:val="32"/>
        </w:rPr>
      </w:pPr>
    </w:p>
    <w:p>
      <w:pPr>
        <w:spacing w:line="600" w:lineRule="exact"/>
        <w:ind w:firstLine="640" w:firstLineChars="200"/>
        <w:rPr>
          <w:rFonts w:ascii="仿宋" w:hAnsi="仿宋" w:eastAsia="仿宋"/>
          <w:color w:val="000000"/>
          <w:sz w:val="32"/>
          <w:szCs w:val="32"/>
        </w:rPr>
      </w:pPr>
      <w:r>
        <w:rPr>
          <w:rStyle w:val="15"/>
          <w:rFonts w:hint="eastAsia" w:ascii="仿宋_GB2312" w:eastAsia="仿宋_GB2312"/>
          <w:b w:val="0"/>
          <w:color w:val="000000"/>
          <w:sz w:val="32"/>
          <w:szCs w:val="32"/>
        </w:rPr>
        <w:t>决算数与预算数存在</w:t>
      </w:r>
      <w:r>
        <w:rPr>
          <w:rFonts w:hint="eastAsia" w:ascii="仿宋_GB2312" w:hAnsi="仿宋" w:eastAsia="仿宋_GB2312"/>
          <w:sz w:val="32"/>
          <w:szCs w:val="32"/>
        </w:rPr>
        <w:t>差异</w:t>
      </w:r>
      <w:r>
        <w:rPr>
          <w:rStyle w:val="15"/>
          <w:rFonts w:hint="eastAsia" w:ascii="仿宋_GB2312" w:eastAsia="仿宋_GB2312"/>
          <w:b w:val="0"/>
          <w:color w:val="000000"/>
          <w:sz w:val="32"/>
          <w:szCs w:val="32"/>
        </w:rPr>
        <w:t>的主要原因：</w:t>
      </w:r>
      <w:r>
        <w:rPr>
          <w:rFonts w:hint="eastAsia" w:ascii="仿宋_GB2312" w:hAnsi="仿宋" w:eastAsia="仿宋_GB2312"/>
          <w:sz w:val="32"/>
          <w:szCs w:val="32"/>
        </w:rPr>
        <w:t>人员变动。</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08</w:t>
      </w:r>
      <w:r>
        <w:rPr>
          <w:rFonts w:hint="eastAsia" w:ascii="仿宋" w:hAnsi="仿宋" w:eastAsia="仿宋"/>
          <w:b/>
          <w:color w:val="000000"/>
          <w:sz w:val="32"/>
          <w:szCs w:val="32"/>
        </w:rPr>
        <w:t>表，罗列全部功能分类科目至项级。上述“预算”口径为调整预算数。增减变动原因为决算数</w:t>
      </w:r>
      <w:r>
        <w:rPr>
          <w:rFonts w:ascii="仿宋" w:hAnsi="仿宋" w:eastAsia="仿宋"/>
          <w:b/>
          <w:color w:val="000000"/>
          <w:sz w:val="32"/>
          <w:szCs w:val="32"/>
        </w:rPr>
        <w:t>&lt;</w:t>
      </w:r>
      <w:r>
        <w:rPr>
          <w:rFonts w:hint="eastAsia" w:ascii="仿宋" w:hAnsi="仿宋" w:eastAsia="仿宋"/>
          <w:b/>
          <w:color w:val="000000"/>
          <w:sz w:val="32"/>
          <w:szCs w:val="32"/>
        </w:rPr>
        <w:t>项级</w:t>
      </w:r>
      <w:r>
        <w:rPr>
          <w:rFonts w:ascii="仿宋" w:hAnsi="仿宋" w:eastAsia="仿宋"/>
          <w:b/>
          <w:color w:val="000000"/>
          <w:sz w:val="32"/>
          <w:szCs w:val="32"/>
        </w:rPr>
        <w:t>&gt;</w:t>
      </w:r>
      <w:r>
        <w:rPr>
          <w:rFonts w:hint="eastAsia" w:ascii="仿宋" w:hAnsi="仿宋" w:eastAsia="仿宋"/>
          <w:b/>
          <w:color w:val="000000"/>
          <w:sz w:val="32"/>
          <w:szCs w:val="32"/>
        </w:rPr>
        <w:t>和调整预算数</w:t>
      </w:r>
      <w:r>
        <w:rPr>
          <w:rFonts w:ascii="仿宋" w:hAnsi="仿宋" w:eastAsia="仿宋"/>
          <w:b/>
          <w:color w:val="000000"/>
          <w:sz w:val="32"/>
          <w:szCs w:val="32"/>
        </w:rPr>
        <w:t>&lt;</w:t>
      </w:r>
      <w:r>
        <w:rPr>
          <w:rFonts w:hint="eastAsia" w:ascii="仿宋" w:hAnsi="仿宋" w:eastAsia="仿宋"/>
          <w:b/>
          <w:color w:val="000000"/>
          <w:sz w:val="32"/>
          <w:szCs w:val="32"/>
        </w:rPr>
        <w:t>项级</w:t>
      </w:r>
      <w:r>
        <w:rPr>
          <w:rFonts w:ascii="仿宋" w:hAnsi="仿宋" w:eastAsia="仿宋"/>
          <w:b/>
          <w:color w:val="000000"/>
          <w:sz w:val="32"/>
          <w:szCs w:val="32"/>
        </w:rPr>
        <w:t>&gt;</w:t>
      </w:r>
      <w:r>
        <w:rPr>
          <w:rFonts w:hint="eastAsia" w:ascii="仿宋" w:hAnsi="仿宋" w:eastAsia="仿宋"/>
          <w:b/>
          <w:color w:val="000000"/>
          <w:sz w:val="32"/>
          <w:szCs w:val="32"/>
        </w:rPr>
        <w:t>比较，与预算数持平可以不写原因。）</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6"/>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808.55</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Style w:val="15"/>
          <w:rFonts w:hint="eastAsia" w:ascii="仿宋_GB2312" w:eastAsia="仿宋_GB2312"/>
          <w:b w:val="0"/>
          <w:color w:val="000000"/>
          <w:sz w:val="32"/>
          <w:szCs w:val="32"/>
        </w:rPr>
        <w:t>人员经费</w:t>
      </w:r>
      <w:r>
        <w:rPr>
          <w:rStyle w:val="15"/>
          <w:rFonts w:hint="eastAsia" w:ascii="仿宋_GB2312" w:eastAsia="仿宋_GB2312"/>
          <w:b w:val="0"/>
          <w:color w:val="000000"/>
          <w:sz w:val="32"/>
          <w:szCs w:val="32"/>
          <w:lang w:val="en-US" w:eastAsia="zh-CN"/>
        </w:rPr>
        <w:t>652.86</w:t>
      </w:r>
      <w:r>
        <w:rPr>
          <w:rStyle w:val="15"/>
          <w:rFonts w:hint="eastAsia" w:ascii="仿宋_GB2312" w:eastAsia="仿宋_GB2312"/>
          <w:b w:val="0"/>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Style w:val="15"/>
          <w:rFonts w:hint="eastAsia" w:ascii="仿宋_GB2312" w:eastAsia="仿宋_GB2312"/>
          <w:b w:val="0"/>
          <w:color w:val="000000"/>
          <w:sz w:val="32"/>
          <w:szCs w:val="32"/>
        </w:rPr>
        <w:br w:type="textWrapping"/>
      </w:r>
      <w:r>
        <w:rPr>
          <w:rStyle w:val="15"/>
          <w:rFonts w:hint="eastAsia" w:ascii="仿宋_GB2312" w:eastAsia="仿宋_GB2312"/>
          <w:b w:val="0"/>
          <w:color w:val="000000"/>
          <w:sz w:val="32"/>
          <w:szCs w:val="32"/>
        </w:rPr>
        <w:t>　　公用经费</w:t>
      </w:r>
      <w:r>
        <w:rPr>
          <w:rStyle w:val="15"/>
          <w:rFonts w:hint="eastAsia" w:ascii="仿宋_GB2312" w:eastAsia="仿宋_GB2312"/>
          <w:b w:val="0"/>
          <w:color w:val="000000"/>
          <w:sz w:val="32"/>
          <w:szCs w:val="32"/>
          <w:lang w:val="en-US" w:eastAsia="zh-CN"/>
        </w:rPr>
        <w:t>155.69</w:t>
      </w:r>
      <w:r>
        <w:rPr>
          <w:rStyle w:val="15"/>
          <w:rFonts w:hint="eastAsia" w:ascii="仿宋_GB2312" w:eastAsia="仿宋_GB2312"/>
          <w:b w:val="0"/>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ascii="仿宋" w:hAnsi="仿宋" w:eastAsia="仿宋"/>
          <w:b/>
          <w:color w:val="000000" w:themeColor="text1"/>
          <w:sz w:val="32"/>
          <w:szCs w:val="32"/>
        </w:rPr>
      </w:pPr>
      <w:r>
        <w:rPr>
          <w:rFonts w:hint="eastAsia" w:ascii="仿宋" w:hAnsi="仿宋" w:eastAsia="仿宋"/>
          <w:b/>
          <w:color w:val="000000" w:themeColor="text1"/>
          <w:sz w:val="32"/>
          <w:szCs w:val="32"/>
        </w:rPr>
        <w:t>（数据来源财决</w:t>
      </w:r>
      <w:r>
        <w:rPr>
          <w:rFonts w:ascii="仿宋" w:hAnsi="仿宋" w:eastAsia="仿宋"/>
          <w:b/>
          <w:color w:val="000000" w:themeColor="text1"/>
          <w:sz w:val="32"/>
          <w:szCs w:val="32"/>
        </w:rPr>
        <w:t>0</w:t>
      </w:r>
      <w:r>
        <w:rPr>
          <w:rFonts w:hint="eastAsia" w:ascii="仿宋" w:hAnsi="仿宋" w:eastAsia="仿宋"/>
          <w:b/>
          <w:color w:val="000000" w:themeColor="text1"/>
          <w:sz w:val="32"/>
          <w:szCs w:val="32"/>
        </w:rPr>
        <w:t>7表，根据本部门实际支出情况罗列全部经济分类科目。）</w:t>
      </w:r>
    </w:p>
    <w:p>
      <w:pPr>
        <w:spacing w:line="600" w:lineRule="exact"/>
        <w:ind w:firstLine="640"/>
        <w:rPr>
          <w:rFonts w:ascii="仿宋" w:hAnsi="仿宋" w:eastAsia="仿宋"/>
          <w:b/>
          <w:color w:val="FF0000"/>
          <w:sz w:val="32"/>
          <w:szCs w:val="32"/>
        </w:rPr>
      </w:pPr>
    </w:p>
    <w:p>
      <w:pPr>
        <w:spacing w:line="600" w:lineRule="exact"/>
        <w:ind w:firstLine="640"/>
        <w:outlineLvl w:val="1"/>
        <w:rPr>
          <w:rStyle w:val="26"/>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hint="eastAsia" w:ascii="仿宋_GB2312" w:hAnsi="仿宋" w:eastAsia="仿宋_GB2312"/>
          <w:sz w:val="32"/>
          <w:szCs w:val="32"/>
        </w:rPr>
        <w:t>2019年“三公”经费财政拨款支出决算为</w:t>
      </w:r>
      <w:r>
        <w:rPr>
          <w:rFonts w:hint="eastAsia" w:ascii="仿宋_GB2312" w:hAnsi="仿宋" w:eastAsia="仿宋_GB2312"/>
          <w:sz w:val="32"/>
          <w:szCs w:val="32"/>
          <w:lang w:val="en-US" w:eastAsia="zh-CN"/>
        </w:rPr>
        <w:t>27.12</w:t>
      </w:r>
      <w:r>
        <w:rPr>
          <w:rFonts w:hint="eastAsia" w:ascii="仿宋_GB2312" w:hAnsi="仿宋" w:eastAsia="仿宋_GB2312"/>
          <w:sz w:val="32"/>
          <w:szCs w:val="32"/>
        </w:rPr>
        <w:t>万元，完成预算</w:t>
      </w:r>
      <w:r>
        <w:rPr>
          <w:rFonts w:hint="eastAsia" w:ascii="仿宋_GB2312" w:hAnsi="仿宋" w:eastAsia="仿宋_GB2312"/>
          <w:sz w:val="32"/>
          <w:szCs w:val="32"/>
          <w:lang w:val="en-US" w:eastAsia="zh-CN"/>
        </w:rPr>
        <w:t>100</w:t>
      </w:r>
      <w:r>
        <w:rPr>
          <w:rFonts w:hint="eastAsia" w:ascii="仿宋_GB2312" w:hAnsi="仿宋" w:eastAsia="仿宋_GB2312"/>
          <w:sz w:val="32"/>
          <w:szCs w:val="32"/>
        </w:rPr>
        <w:t>%，决算数</w:t>
      </w:r>
      <w:r>
        <w:rPr>
          <w:rFonts w:hint="eastAsia" w:ascii="仿宋_GB2312" w:hAnsi="仿宋" w:eastAsia="仿宋_GB2312"/>
          <w:sz w:val="32"/>
          <w:szCs w:val="32"/>
          <w:lang w:eastAsia="zh-CN"/>
        </w:rPr>
        <w:t>与</w:t>
      </w:r>
      <w:r>
        <w:rPr>
          <w:rFonts w:hint="eastAsia" w:ascii="仿宋_GB2312" w:hAnsi="仿宋" w:eastAsia="仿宋_GB2312"/>
          <w:sz w:val="32"/>
          <w:szCs w:val="32"/>
        </w:rPr>
        <w:t>预算数</w:t>
      </w:r>
      <w:r>
        <w:rPr>
          <w:rFonts w:hint="eastAsia" w:ascii="仿宋_GB2312" w:hAnsi="仿宋" w:eastAsia="仿宋_GB2312"/>
          <w:sz w:val="32"/>
          <w:szCs w:val="32"/>
          <w:lang w:eastAsia="zh-CN"/>
        </w:rPr>
        <w:t>持平</w:t>
      </w:r>
      <w:r>
        <w:rPr>
          <w:rFonts w:hint="eastAsia" w:ascii="仿宋_GB2312" w:hAnsi="仿宋" w:eastAsia="仿宋_GB2312"/>
          <w:sz w:val="32"/>
          <w:szCs w:val="32"/>
        </w:rPr>
        <w:t>的主要原因是</w:t>
      </w:r>
      <w:r>
        <w:rPr>
          <w:rFonts w:hint="eastAsia" w:ascii="仿宋_GB2312" w:hAnsi="仿宋" w:eastAsia="仿宋_GB2312"/>
          <w:sz w:val="32"/>
          <w:szCs w:val="32"/>
        </w:rPr>
        <w:t>严格执行了中央八项规定，厉行节约的要求。</w:t>
      </w:r>
    </w:p>
    <w:p>
      <w:pPr>
        <w:spacing w:line="600" w:lineRule="exact"/>
        <w:ind w:firstLine="640"/>
        <w:rPr>
          <w:rFonts w:ascii="仿宋" w:hAnsi="仿宋" w:eastAsia="仿宋"/>
          <w:b/>
          <w:color w:val="000000" w:themeColor="text1"/>
          <w:sz w:val="32"/>
          <w:szCs w:val="32"/>
        </w:rPr>
      </w:pPr>
      <w:r>
        <w:rPr>
          <w:rFonts w:hint="eastAsia" w:ascii="仿宋" w:hAnsi="仿宋" w:eastAsia="仿宋"/>
          <w:b/>
          <w:color w:val="000000"/>
          <w:sz w:val="32"/>
          <w:szCs w:val="32"/>
        </w:rPr>
        <w:t>（上述“预算”口径为调整预</w:t>
      </w:r>
      <w:r>
        <w:rPr>
          <w:rFonts w:hint="eastAsia" w:ascii="仿宋" w:hAnsi="仿宋" w:eastAsia="仿宋"/>
          <w:b/>
          <w:color w:val="000000" w:themeColor="text1"/>
          <w:sz w:val="32"/>
          <w:szCs w:val="32"/>
        </w:rPr>
        <w:t>算数，包括政府性基金支出决算情况。）</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hint="eastAsia" w:ascii="仿宋_GB2312" w:hAnsi="仿宋" w:eastAsia="仿宋_GB2312"/>
          <w:sz w:val="32"/>
          <w:szCs w:val="32"/>
        </w:rPr>
      </w:pPr>
      <w:r>
        <w:rPr>
          <w:rFonts w:hint="eastAsia" w:ascii="仿宋_GB2312" w:hAnsi="仿宋" w:eastAsia="仿宋_GB2312"/>
          <w:sz w:val="32"/>
          <w:szCs w:val="32"/>
        </w:rPr>
        <w:drawing>
          <wp:anchor distT="0" distB="0" distL="114300" distR="114300" simplePos="0" relativeHeight="251785216" behindDoc="1" locked="0" layoutInCell="1" allowOverlap="1">
            <wp:simplePos x="0" y="0"/>
            <wp:positionH relativeFrom="column">
              <wp:posOffset>775970</wp:posOffset>
            </wp:positionH>
            <wp:positionV relativeFrom="paragraph">
              <wp:posOffset>1877060</wp:posOffset>
            </wp:positionV>
            <wp:extent cx="3945255" cy="1470660"/>
            <wp:effectExtent l="0" t="0" r="0" b="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_GB2312" w:hAnsi="仿宋" w:eastAsia="仿宋_GB2312"/>
          <w:sz w:val="32"/>
          <w:szCs w:val="32"/>
        </w:rPr>
        <w:t>2019年“三公”经费财政拨款支出决算中，因公出国（境）费支出决算</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万元，占</w:t>
      </w:r>
      <w:r>
        <w:rPr>
          <w:rFonts w:hint="eastAsia" w:ascii="仿宋_GB2312" w:hAnsi="仿宋" w:eastAsia="仿宋_GB2312"/>
          <w:sz w:val="32"/>
          <w:szCs w:val="32"/>
          <w:lang w:val="en-US" w:eastAsia="zh-CN"/>
        </w:rPr>
        <w:t>0</w:t>
      </w:r>
      <w:r>
        <w:rPr>
          <w:rFonts w:hint="eastAsia" w:ascii="仿宋_GB2312" w:hAnsi="仿宋" w:eastAsia="仿宋_GB2312"/>
          <w:sz w:val="32"/>
          <w:szCs w:val="32"/>
        </w:rPr>
        <w:t>%；公务用车购置及运行维护费支出决算</w:t>
      </w:r>
      <w:r>
        <w:rPr>
          <w:rFonts w:hint="eastAsia" w:ascii="仿宋_GB2312" w:hAnsi="仿宋" w:eastAsia="仿宋_GB2312"/>
          <w:sz w:val="32"/>
          <w:szCs w:val="32"/>
          <w:lang w:val="en-US" w:eastAsia="zh-CN"/>
        </w:rPr>
        <w:t>26.93</w:t>
      </w:r>
      <w:r>
        <w:rPr>
          <w:rFonts w:hint="eastAsia" w:ascii="仿宋_GB2312" w:hAnsi="仿宋" w:eastAsia="仿宋_GB2312"/>
          <w:sz w:val="32"/>
          <w:szCs w:val="32"/>
        </w:rPr>
        <w:t>万元，占</w:t>
      </w:r>
      <w:r>
        <w:rPr>
          <w:rFonts w:hint="eastAsia" w:ascii="仿宋_GB2312" w:hAnsi="仿宋" w:eastAsia="仿宋_GB2312"/>
          <w:sz w:val="32"/>
          <w:szCs w:val="32"/>
          <w:lang w:val="en-US" w:eastAsia="zh-CN"/>
        </w:rPr>
        <w:t>99</w:t>
      </w:r>
      <w:r>
        <w:rPr>
          <w:rFonts w:hint="eastAsia" w:ascii="仿宋_GB2312" w:hAnsi="仿宋" w:eastAsia="仿宋_GB2312"/>
          <w:sz w:val="32"/>
          <w:szCs w:val="32"/>
        </w:rPr>
        <w:t>%；公务接待费支出决算</w:t>
      </w:r>
      <w:r>
        <w:rPr>
          <w:rFonts w:hint="eastAsia" w:ascii="仿宋_GB2312" w:hAnsi="仿宋" w:eastAsia="仿宋_GB2312"/>
          <w:sz w:val="32"/>
          <w:szCs w:val="32"/>
          <w:lang w:val="en-US" w:eastAsia="zh-CN"/>
        </w:rPr>
        <w:t>0.19</w:t>
      </w:r>
      <w:r>
        <w:rPr>
          <w:rFonts w:hint="eastAsia" w:ascii="仿宋_GB2312" w:hAnsi="仿宋" w:eastAsia="仿宋_GB2312"/>
          <w:sz w:val="32"/>
          <w:szCs w:val="32"/>
        </w:rPr>
        <w:t>万元，占</w:t>
      </w:r>
      <w:r>
        <w:rPr>
          <w:rFonts w:hint="eastAsia" w:ascii="仿宋_GB2312" w:hAnsi="仿宋" w:eastAsia="仿宋_GB2312"/>
          <w:sz w:val="32"/>
          <w:szCs w:val="32"/>
          <w:lang w:val="en-US" w:eastAsia="zh-CN"/>
        </w:rPr>
        <w:t>1</w:t>
      </w:r>
      <w:r>
        <w:rPr>
          <w:rFonts w:hint="eastAsia" w:ascii="仿宋_GB2312" w:hAnsi="仿宋" w:eastAsia="仿宋_GB2312"/>
          <w:sz w:val="32"/>
          <w:szCs w:val="32"/>
        </w:rPr>
        <w:t>%。具体情况如下：</w:t>
      </w:r>
    </w:p>
    <w:p>
      <w:pPr>
        <w:spacing w:line="600" w:lineRule="exact"/>
        <w:ind w:firstLine="640"/>
        <w:rPr>
          <w:rFonts w:hint="eastAsia" w:ascii="仿宋" w:hAnsi="仿宋" w:eastAsia="仿宋"/>
          <w:color w:val="000000"/>
          <w:sz w:val="32"/>
          <w:szCs w:val="32"/>
        </w:rPr>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（图8：“三公”经费财政拨款支出结构）（饼状图）</w:t>
      </w:r>
    </w:p>
    <w:p>
      <w:pPr>
        <w:numPr>
          <w:ilvl w:val="0"/>
          <w:numId w:val="3"/>
        </w:num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val="en-US" w:eastAsia="zh-CN"/>
        </w:rPr>
        <w:t>0</w:t>
      </w:r>
      <w:r>
        <w:rPr>
          <w:rFonts w:hint="eastAsia" w:ascii="仿宋_GB2312" w:eastAsia="仿宋_GB2312"/>
          <w:b/>
          <w:color w:val="000000"/>
          <w:sz w:val="32"/>
          <w:szCs w:val="32"/>
        </w:rPr>
        <w:t>万元</w:t>
      </w:r>
      <w:r>
        <w:rPr>
          <w:rFonts w:hint="eastAsia" w:ascii="仿宋_GB2312" w:eastAsia="仿宋_GB2312"/>
          <w:color w:val="000000"/>
          <w:sz w:val="32"/>
          <w:szCs w:val="32"/>
        </w:rPr>
        <w:t>，</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w:t>
      </w:r>
      <w:r>
        <w:rPr>
          <w:rFonts w:hint="eastAsia" w:ascii="仿宋_GB2312" w:eastAsia="仿宋_GB2312"/>
          <w:color w:val="000000"/>
          <w:sz w:val="32"/>
          <w:szCs w:val="32"/>
        </w:rPr>
        <w:t>18年</w:t>
      </w:r>
      <w:r>
        <w:rPr>
          <w:rFonts w:hint="eastAsia" w:ascii="仿宋_GB2312" w:eastAsia="仿宋_GB2312"/>
          <w:color w:val="000000"/>
          <w:sz w:val="32"/>
          <w:szCs w:val="32"/>
          <w:lang w:eastAsia="zh-CN"/>
        </w:rPr>
        <w:t>无变化。</w:t>
      </w:r>
    </w:p>
    <w:p>
      <w:pPr>
        <w:spacing w:line="600" w:lineRule="exact"/>
        <w:ind w:firstLine="64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26.93万元</w:t>
      </w:r>
      <w:r>
        <w:rPr>
          <w:rFonts w:hint="eastAsia" w:ascii="仿宋_GB2312" w:eastAsia="仿宋_GB2312"/>
          <w:color w:val="000000"/>
          <w:sz w:val="32"/>
          <w:szCs w:val="32"/>
        </w:rPr>
        <w:t>,</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18年下降</w:t>
      </w: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hAnsi="仿宋" w:eastAsia="仿宋_GB2312"/>
          <w:sz w:val="32"/>
          <w:szCs w:val="32"/>
        </w:rPr>
        <w:t>较2018年支出</w:t>
      </w:r>
      <w:r>
        <w:rPr>
          <w:rFonts w:hint="eastAsia" w:ascii="仿宋_GB2312" w:hAnsi="仿宋" w:eastAsia="仿宋_GB2312"/>
          <w:sz w:val="32"/>
          <w:szCs w:val="32"/>
          <w:lang w:eastAsia="zh-CN"/>
        </w:rPr>
        <w:t>下降</w:t>
      </w:r>
      <w:r>
        <w:rPr>
          <w:rFonts w:hint="eastAsia" w:ascii="仿宋_GB2312" w:hAnsi="仿宋" w:eastAsia="仿宋_GB2312"/>
          <w:sz w:val="32"/>
          <w:szCs w:val="32"/>
          <w:lang w:val="en-US" w:eastAsia="zh-CN"/>
        </w:rPr>
        <w:t>12</w:t>
      </w:r>
      <w:r>
        <w:rPr>
          <w:rFonts w:hint="eastAsia" w:ascii="仿宋_GB2312" w:hAnsi="仿宋" w:eastAsia="仿宋_GB2312"/>
          <w:sz w:val="32"/>
          <w:szCs w:val="32"/>
        </w:rPr>
        <w:t>%，</w:t>
      </w:r>
      <w:r>
        <w:rPr>
          <w:rFonts w:hint="eastAsia" w:ascii="仿宋_GB2312" w:eastAsia="仿宋_GB2312"/>
          <w:color w:val="000000"/>
          <w:sz w:val="32"/>
          <w:szCs w:val="32"/>
        </w:rPr>
        <w:t>主要</w:t>
      </w:r>
      <w:r>
        <w:rPr>
          <w:rFonts w:hint="eastAsia" w:ascii="仿宋_GB2312" w:eastAsia="仿宋_GB2312"/>
          <w:color w:val="000000"/>
          <w:sz w:val="32"/>
          <w:szCs w:val="32"/>
          <w:lang w:eastAsia="zh-CN"/>
        </w:rPr>
        <w:t>是因</w:t>
      </w:r>
      <w:r>
        <w:rPr>
          <w:rFonts w:hint="eastAsia" w:ascii="仿宋_GB2312" w:eastAsia="仿宋_GB2312"/>
          <w:color w:val="000000"/>
          <w:sz w:val="32"/>
          <w:szCs w:val="32"/>
          <w:lang w:val="en-US" w:eastAsia="zh-CN"/>
        </w:rPr>
        <w:t>2018年车辆大修，2019年维修费减少</w:t>
      </w:r>
      <w:r>
        <w:rPr>
          <w:rFonts w:hint="eastAsia" w:ascii="仿宋_GB2312" w:hAnsi="仿宋" w:eastAsia="仿宋_GB2312" w:cs="仿宋"/>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0万元。</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26.93万元</w:t>
      </w:r>
      <w:r>
        <w:rPr>
          <w:rFonts w:hint="eastAsia" w:ascii="仿宋_GB2312" w:eastAsia="仿宋_GB2312"/>
          <w:color w:val="000000"/>
          <w:sz w:val="32"/>
          <w:szCs w:val="32"/>
        </w:rPr>
        <w:t>。主要用于督查、办案等所需的公务用车燃料费、维修费、过路过桥费、保险费等支出。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b/>
          <w:color w:val="000000"/>
          <w:sz w:val="32"/>
          <w:szCs w:val="32"/>
          <w:lang w:val="en-US" w:eastAsia="zh-CN"/>
        </w:rPr>
        <w:t>0.19万元，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8年下降</w:t>
      </w:r>
      <w:r>
        <w:rPr>
          <w:rFonts w:hint="eastAsia" w:ascii="仿宋_GB2312" w:eastAsia="仿宋_GB2312"/>
          <w:color w:val="000000"/>
          <w:sz w:val="32"/>
          <w:szCs w:val="32"/>
          <w:lang w:val="en-US" w:eastAsia="zh-CN"/>
        </w:rPr>
        <w:t>45</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hAnsi="仿宋" w:eastAsia="仿宋_GB2312"/>
          <w:sz w:val="32"/>
          <w:szCs w:val="32"/>
        </w:rPr>
        <w:t>主要原因是严格执行了中央八项规定，厉行节约的要求。</w:t>
      </w:r>
    </w:p>
    <w:p>
      <w:pPr>
        <w:spacing w:line="600" w:lineRule="exact"/>
        <w:ind w:firstLine="640"/>
        <w:rPr>
          <w:rFonts w:ascii="黑体" w:eastAsia="黑体"/>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0.19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Start w:id="46" w:name="_Toc15377218"/>
      <w:bookmarkStart w:id="47" w:name="_Toc15396610"/>
    </w:p>
    <w:p>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4"/>
        </w:numPr>
        <w:spacing w:line="600" w:lineRule="exact"/>
        <w:ind w:firstLine="640"/>
        <w:outlineLvl w:val="1"/>
        <w:rPr>
          <w:rStyle w:val="26"/>
          <w:rFonts w:ascii="黑体" w:hAnsi="黑体" w:eastAsia="黑体"/>
          <w:b w:val="0"/>
        </w:rPr>
      </w:pPr>
      <w:bookmarkStart w:id="48" w:name="_Toc15396611"/>
      <w:bookmarkStart w:id="49" w:name="_Toc15377219"/>
      <w:r>
        <w:rPr>
          <w:rStyle w:val="26"/>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4"/>
        <w:numPr>
          <w:ilvl w:val="0"/>
          <w:numId w:val="5"/>
        </w:numPr>
        <w:spacing w:line="580" w:lineRule="exact"/>
        <w:ind w:firstLineChars="0"/>
        <w:rPr>
          <w:rStyle w:val="26"/>
          <w:rFonts w:ascii="黑体" w:hAnsi="黑体" w:eastAsia="黑体"/>
          <w:b w:val="0"/>
        </w:rPr>
      </w:pPr>
      <w:r>
        <w:rPr>
          <w:rStyle w:val="26"/>
          <w:rFonts w:hint="eastAsia" w:ascii="黑体" w:hAnsi="黑体" w:eastAsia="黑体"/>
          <w:b w:val="0"/>
        </w:rPr>
        <w:t>预算绩效情况说明</w:t>
      </w:r>
    </w:p>
    <w:p>
      <w:pPr>
        <w:numPr>
          <w:ilvl w:val="0"/>
          <w:numId w:val="6"/>
        </w:numPr>
        <w:spacing w:line="580" w:lineRule="exact"/>
        <w:ind w:firstLine="640"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kern w:val="0"/>
          <w:sz w:val="32"/>
          <w:szCs w:val="32"/>
          <w:shd w:val="clear" w:color="auto" w:fill="FFFFFF"/>
          <w:lang w:bidi="ar"/>
        </w:rPr>
        <w:t>201</w:t>
      </w:r>
      <w:r>
        <w:rPr>
          <w:rFonts w:hint="eastAsia" w:ascii="仿宋_GB2312" w:hAnsi="仿宋_GB2312" w:eastAsia="仿宋_GB2312" w:cs="仿宋_GB2312"/>
          <w:kern w:val="0"/>
          <w:sz w:val="32"/>
          <w:szCs w:val="32"/>
          <w:shd w:val="clear" w:color="auto" w:fill="FFFFFF"/>
          <w:lang w:val="en-US" w:eastAsia="zh-CN" w:bidi="ar"/>
        </w:rPr>
        <w:t>9</w:t>
      </w:r>
      <w:r>
        <w:rPr>
          <w:rFonts w:hint="eastAsia" w:ascii="仿宋_GB2312" w:hAnsi="仿宋_GB2312" w:eastAsia="仿宋_GB2312" w:cs="仿宋_GB2312"/>
          <w:kern w:val="0"/>
          <w:sz w:val="32"/>
          <w:szCs w:val="32"/>
          <w:shd w:val="clear" w:color="auto" w:fill="FFFFFF"/>
          <w:lang w:bidi="ar"/>
        </w:rPr>
        <w:t>年，在州纪委监委和县委的坚强领导下，阿坝县纪委监委坚持以习近平新时代中国特色社会主义思想为指导，全面贯彻落实党的十九大精神，按照中央、省、州和县纪委全会工作部署，明确重点，不断建立健全工作机制，强化措施，狠抓落实，充分履行监督执纪问责和监督调查处置职责，深入推进全县党风廉政建设和反腐败工作，为建设川甘青三省交界地区区域发展先行县提供坚强的政治纪律保证。</w:t>
      </w:r>
    </w:p>
    <w:p>
      <w:pPr>
        <w:numPr>
          <w:ilvl w:val="0"/>
          <w:numId w:val="6"/>
        </w:numPr>
        <w:spacing w:line="580" w:lineRule="exact"/>
        <w:ind w:firstLine="640"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年部门整体支出绩效评价情况开展自评，《201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年部门整体支出绩效评价报告》见附件。</w:t>
      </w:r>
    </w:p>
    <w:p>
      <w:pPr>
        <w:spacing w:line="600" w:lineRule="exact"/>
        <w:ind w:firstLine="800" w:firstLineChars="250"/>
        <w:outlineLvl w:val="1"/>
        <w:rPr>
          <w:rStyle w:val="26"/>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50"/>
      <w:bookmarkEnd w:id="51"/>
    </w:p>
    <w:p>
      <w:pPr>
        <w:spacing w:line="600" w:lineRule="exact"/>
        <w:ind w:firstLine="640"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9年，机关运行经费支出</w:t>
      </w:r>
      <w:r>
        <w:rPr>
          <w:rFonts w:hint="eastAsia" w:ascii="仿宋_GB2312" w:eastAsia="仿宋_GB2312"/>
          <w:color w:val="000000"/>
          <w:sz w:val="32"/>
          <w:szCs w:val="32"/>
          <w:lang w:val="en-US" w:eastAsia="zh-CN"/>
        </w:rPr>
        <w:t>155.69</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8.77</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hAnsi="仿宋_GB2312" w:eastAsia="仿宋_GB2312" w:cs="仿宋_GB2312"/>
          <w:color w:val="000000" w:themeColor="text1"/>
          <w:sz w:val="32"/>
          <w:szCs w:val="32"/>
          <w:lang w:eastAsia="zh-CN"/>
        </w:rPr>
        <w:t>人员配备和硬件设施改善以及不</w:t>
      </w:r>
      <w:r>
        <w:rPr>
          <w:rFonts w:hint="eastAsia" w:ascii="仿宋_GB2312" w:hAnsi="仿宋_GB2312" w:eastAsia="仿宋_GB2312" w:cs="仿宋_GB2312"/>
          <w:kern w:val="0"/>
          <w:sz w:val="32"/>
          <w:szCs w:val="32"/>
          <w:shd w:val="clear" w:color="auto" w:fill="FFFFFF"/>
          <w:lang w:bidi="ar"/>
        </w:rPr>
        <w:t>断建立健全工作机制，强化措施，</w:t>
      </w:r>
      <w:r>
        <w:rPr>
          <w:rFonts w:hint="eastAsia" w:ascii="仿宋_GB2312" w:hAnsi="仿宋_GB2312" w:eastAsia="仿宋_GB2312" w:cs="仿宋_GB2312"/>
          <w:kern w:val="0"/>
          <w:sz w:val="32"/>
          <w:szCs w:val="32"/>
          <w:shd w:val="clear" w:color="auto" w:fill="FFFFFF"/>
          <w:lang w:eastAsia="zh-CN" w:bidi="ar"/>
        </w:rPr>
        <w:t>加大督查、办案、巡查力度等。</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w:t>
      </w:r>
    </w:p>
    <w:p>
      <w:pPr>
        <w:autoSpaceDE w:val="0"/>
        <w:autoSpaceDN w:val="0"/>
        <w:adjustRightInd w:val="0"/>
        <w:spacing w:line="600" w:lineRule="exact"/>
        <w:ind w:firstLine="640"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9年，政府采购支出总额</w:t>
      </w:r>
      <w:r>
        <w:rPr>
          <w:rFonts w:hint="eastAsia" w:ascii="仿宋_GB2312" w:eastAsia="仿宋_GB2312"/>
          <w:color w:val="000000"/>
          <w:sz w:val="32"/>
          <w:szCs w:val="32"/>
          <w:lang w:val="en-US" w:eastAsia="zh-CN"/>
        </w:rPr>
        <w:t>3.6</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3.6</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办公家具采购</w:t>
      </w:r>
      <w:r>
        <w:rPr>
          <w:rFonts w:hint="eastAsia" w:ascii="仿宋_GB2312" w:eastAsia="仿宋_GB2312"/>
          <w:color w:val="000000"/>
          <w:sz w:val="32"/>
          <w:szCs w:val="32"/>
        </w:rPr>
        <w:t>。</w:t>
      </w:r>
    </w:p>
    <w:p>
      <w:pPr>
        <w:autoSpaceDE w:val="0"/>
        <w:autoSpaceDN w:val="0"/>
        <w:adjustRightInd w:val="0"/>
        <w:spacing w:line="600" w:lineRule="exact"/>
        <w:ind w:firstLine="640"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CS06</w:t>
      </w:r>
      <w:r>
        <w:rPr>
          <w:rFonts w:hint="eastAsia" w:ascii="仿宋" w:hAnsi="仿宋" w:eastAsia="仿宋"/>
          <w:b/>
          <w:color w:val="000000"/>
          <w:sz w:val="32"/>
          <w:szCs w:val="32"/>
        </w:rPr>
        <w:t>表）</w:t>
      </w:r>
    </w:p>
    <w:p>
      <w:pPr>
        <w:autoSpaceDE w:val="0"/>
        <w:autoSpaceDN w:val="0"/>
        <w:adjustRightInd w:val="0"/>
        <w:spacing w:line="600" w:lineRule="exact"/>
        <w:ind w:firstLine="640"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辆，</w:t>
      </w:r>
      <w:r>
        <w:rPr>
          <w:rFonts w:hint="eastAsia" w:ascii="仿宋_GB2312" w:hAnsi="仿宋_GB2312" w:eastAsia="仿宋_GB2312" w:cs="仿宋_GB2312"/>
          <w:color w:val="000000"/>
          <w:sz w:val="32"/>
          <w:szCs w:val="32"/>
        </w:rPr>
        <w:t>其中：一般公务用车</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辆、一般执法执勤用车</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eastAsia="zh-CN"/>
        </w:rPr>
        <w:t>。</w:t>
      </w:r>
    </w:p>
    <w:p>
      <w:pPr>
        <w:autoSpaceDE w:val="0"/>
        <w:autoSpaceDN w:val="0"/>
        <w:adjustRightInd w:val="0"/>
        <w:spacing w:line="600" w:lineRule="exact"/>
        <w:ind w:firstLine="640"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表，按部门决算报表填报数据罗列车辆情况。）</w:t>
      </w: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7"/>
        </w:numPr>
        <w:spacing w:line="600" w:lineRule="exact"/>
        <w:ind w:firstLine="663" w:firstLineChars="150"/>
        <w:jc w:val="center"/>
        <w:outlineLvl w:val="0"/>
        <w:rPr>
          <w:rStyle w:val="25"/>
          <w:rFonts w:ascii="黑体" w:hAnsi="黑体" w:eastAsia="黑体"/>
          <w:b w:val="0"/>
        </w:rPr>
      </w:pPr>
      <w:bookmarkStart w:id="55" w:name="_Toc15377225"/>
      <w:bookmarkStart w:id="56" w:name="_Toc15396613"/>
      <w:bookmarkStart w:id="57" w:name="_Toc15396617"/>
      <w:bookmarkStart w:id="58" w:name="_Toc15377226"/>
      <w:r>
        <w:rPr>
          <w:rFonts w:hint="eastAsia" w:ascii="黑体" w:hAnsi="黑体" w:eastAsia="黑体"/>
          <w:b/>
          <w:color w:val="000000"/>
          <w:sz w:val="44"/>
          <w:szCs w:val="44"/>
        </w:rPr>
        <w:t>名</w:t>
      </w:r>
      <w:r>
        <w:rPr>
          <w:rStyle w:val="25"/>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hAnsi="仿宋_GB2312" w:eastAsia="仿宋_GB2312" w:cs="仿宋_GB2312"/>
          <w:color w:val="000000"/>
          <w:sz w:val="32"/>
          <w:szCs w:val="32"/>
        </w:rPr>
      </w:pP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2011101行政运行</w:t>
      </w:r>
      <w:r>
        <w:rPr>
          <w:rFonts w:hint="eastAsia" w:ascii="仿宋_GB2312" w:eastAsia="仿宋_GB2312"/>
          <w:color w:val="000000"/>
          <w:sz w:val="32"/>
          <w:szCs w:val="32"/>
        </w:rPr>
        <w:t>：</w:t>
      </w:r>
      <w:r>
        <w:rPr>
          <w:rFonts w:hint="eastAsia" w:ascii="仿宋_GB2312" w:eastAsia="仿宋_GB2312"/>
          <w:sz w:val="32"/>
          <w:szCs w:val="32"/>
        </w:rPr>
        <w:t>指单位按有关规定</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color w:val="000000"/>
          <w:sz w:val="32"/>
          <w:szCs w:val="32"/>
        </w:rPr>
        <w:t>基本工资、津贴补贴、奖金、伙食补助费、绩效工资、其他工资福利支出、离休费、退休费、抚恤金、生活补助、奖励金、其他对个人和家庭的补助支出等</w:t>
      </w:r>
      <w:r>
        <w:rPr>
          <w:rFonts w:hint="eastAsia" w:ascii="仿宋_GB2312" w:hAnsi="仿宋_GB2312" w:eastAsia="仿宋_GB2312" w:cs="仿宋_GB2312"/>
          <w:color w:val="000000"/>
          <w:sz w:val="32"/>
          <w:szCs w:val="32"/>
          <w:lang w:eastAsia="zh-CN"/>
        </w:rPr>
        <w:t>的资金</w:t>
      </w:r>
      <w:r>
        <w:rPr>
          <w:rFonts w:hint="eastAsia" w:ascii="仿宋_GB2312" w:hAnsi="仿宋_GB2312" w:eastAsia="仿宋_GB2312" w:cs="仿宋_GB2312"/>
          <w:color w:val="000000"/>
          <w:sz w:val="32"/>
          <w:szCs w:val="32"/>
        </w:rPr>
        <w:t>。</w:t>
      </w:r>
    </w:p>
    <w:p>
      <w:pPr>
        <w:ind w:firstLine="640" w:firstLineChars="200"/>
        <w:rPr>
          <w:rFonts w:hint="default" w:ascii="仿宋_GB2312" w:eastAsia="仿宋_GB2312"/>
          <w:color w:val="000000"/>
          <w:sz w:val="32"/>
          <w:szCs w:val="32"/>
          <w:lang w:val="en-US" w:eastAsia="zh-CN"/>
        </w:rPr>
      </w:pPr>
      <w:r>
        <w:rPr>
          <w:rFonts w:ascii="仿宋_GB2312" w:eastAsia="仿宋_GB2312"/>
          <w:color w:val="000000"/>
          <w:sz w:val="32"/>
          <w:szCs w:val="32"/>
        </w:rPr>
        <w:t>5.</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;2080505机关单位基本养老保险缴费：</w:t>
      </w:r>
      <w:r>
        <w:rPr>
          <w:rFonts w:hint="eastAsia" w:ascii="仿宋_GB2312" w:eastAsia="仿宋_GB2312"/>
          <w:sz w:val="32"/>
          <w:szCs w:val="32"/>
        </w:rPr>
        <w:t>指单位按有关规定</w:t>
      </w:r>
      <w:r>
        <w:rPr>
          <w:rFonts w:hint="eastAsia" w:ascii="仿宋_GB2312" w:eastAsia="仿宋_GB2312"/>
          <w:sz w:val="32"/>
          <w:szCs w:val="32"/>
          <w:lang w:eastAsia="zh-CN"/>
        </w:rPr>
        <w:t>对</w:t>
      </w:r>
      <w:r>
        <w:rPr>
          <w:rFonts w:hint="eastAsia" w:ascii="仿宋_GB2312" w:eastAsia="仿宋_GB2312"/>
          <w:color w:val="000000"/>
          <w:sz w:val="32"/>
          <w:szCs w:val="32"/>
          <w:lang w:val="en-US" w:eastAsia="zh-CN"/>
        </w:rPr>
        <w:t>单位基本养老保险缴费</w:t>
      </w:r>
      <w:r>
        <w:rPr>
          <w:rFonts w:hint="eastAsia" w:ascii="仿宋_GB2312" w:eastAsia="仿宋_GB2312"/>
          <w:color w:val="000000"/>
          <w:sz w:val="32"/>
          <w:szCs w:val="32"/>
          <w:lang w:eastAsia="zh-CN"/>
        </w:rPr>
        <w:t>的资金使用</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2080506机关事业单位职业年金缴费：</w:t>
      </w:r>
      <w:r>
        <w:rPr>
          <w:rFonts w:hint="eastAsia" w:ascii="仿宋_GB2312" w:eastAsia="仿宋_GB2312"/>
          <w:sz w:val="32"/>
          <w:szCs w:val="32"/>
        </w:rPr>
        <w:t>指单位按有关规定</w:t>
      </w:r>
      <w:r>
        <w:rPr>
          <w:rFonts w:hint="eastAsia" w:ascii="仿宋_GB2312" w:eastAsia="仿宋_GB2312"/>
          <w:sz w:val="32"/>
          <w:szCs w:val="32"/>
          <w:lang w:eastAsia="zh-CN"/>
        </w:rPr>
        <w:t>对</w:t>
      </w:r>
      <w:r>
        <w:rPr>
          <w:rFonts w:hint="eastAsia" w:ascii="仿宋_GB2312" w:eastAsia="仿宋_GB2312"/>
          <w:color w:val="000000"/>
          <w:sz w:val="32"/>
          <w:szCs w:val="32"/>
          <w:lang w:val="en-US" w:eastAsia="zh-CN"/>
        </w:rPr>
        <w:t>单位机关事业单位职业年金缴费</w:t>
      </w:r>
      <w:r>
        <w:rPr>
          <w:rFonts w:hint="eastAsia" w:ascii="仿宋_GB2312" w:eastAsia="仿宋_GB2312"/>
          <w:color w:val="000000"/>
          <w:sz w:val="32"/>
          <w:szCs w:val="32"/>
          <w:lang w:eastAsia="zh-CN"/>
        </w:rPr>
        <w:t>的资金使用</w:t>
      </w:r>
      <w:r>
        <w:rPr>
          <w:rFonts w:hint="eastAsia" w:ascii="仿宋_GB2312" w:eastAsia="仿宋_GB2312"/>
          <w:color w:val="000000"/>
          <w:sz w:val="32"/>
          <w:szCs w:val="32"/>
        </w:rPr>
        <w:t>。</w:t>
      </w:r>
    </w:p>
    <w:p>
      <w:pPr>
        <w:ind w:firstLine="640" w:firstLineChars="200"/>
        <w:rPr>
          <w:rFonts w:hint="default" w:ascii="仿宋_GB2312" w:eastAsia="仿宋_GB2312"/>
          <w:color w:val="000000"/>
          <w:sz w:val="32"/>
          <w:szCs w:val="32"/>
          <w:lang w:val="en-US" w:eastAsia="zh-CN"/>
        </w:rPr>
      </w:pPr>
      <w:r>
        <w:rPr>
          <w:rFonts w:ascii="仿宋_GB2312" w:eastAsia="仿宋_GB2312"/>
          <w:color w:val="000000"/>
          <w:sz w:val="32"/>
          <w:szCs w:val="32"/>
        </w:rPr>
        <w:t>6.</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2101101</w:t>
      </w:r>
      <w:r>
        <w:rPr>
          <w:rFonts w:hint="eastAsia" w:ascii="仿宋_GB2312" w:eastAsia="仿宋_GB2312"/>
          <w:color w:val="000000"/>
          <w:sz w:val="32"/>
          <w:szCs w:val="32"/>
        </w:rPr>
        <w:t>：</w:t>
      </w:r>
      <w:r>
        <w:rPr>
          <w:rFonts w:hint="eastAsia" w:ascii="仿宋_GB2312" w:eastAsia="仿宋_GB2312"/>
          <w:sz w:val="32"/>
          <w:szCs w:val="32"/>
        </w:rPr>
        <w:t>指单位按有关规定</w:t>
      </w:r>
      <w:r>
        <w:rPr>
          <w:rFonts w:hint="eastAsia" w:ascii="仿宋_GB2312" w:eastAsia="仿宋_GB2312"/>
          <w:sz w:val="32"/>
          <w:szCs w:val="32"/>
          <w:lang w:eastAsia="zh-CN"/>
        </w:rPr>
        <w:t>对</w:t>
      </w:r>
      <w:r>
        <w:rPr>
          <w:rFonts w:hint="eastAsia" w:ascii="仿宋_GB2312" w:eastAsia="仿宋_GB2312"/>
          <w:color w:val="000000"/>
          <w:sz w:val="32"/>
          <w:szCs w:val="32"/>
          <w:lang w:val="en-US" w:eastAsia="zh-CN"/>
        </w:rPr>
        <w:t>单基本医疗保险缴费</w:t>
      </w:r>
      <w:r>
        <w:rPr>
          <w:rFonts w:hint="eastAsia" w:ascii="仿宋_GB2312" w:eastAsia="仿宋_GB2312"/>
          <w:color w:val="000000"/>
          <w:sz w:val="32"/>
          <w:szCs w:val="32"/>
          <w:lang w:eastAsia="zh-CN"/>
        </w:rPr>
        <w:t>的资金使用</w:t>
      </w:r>
      <w:r>
        <w:rPr>
          <w:rFonts w:hint="eastAsia" w:ascii="仿宋_GB2312" w:eastAsia="仿宋_GB2312"/>
          <w:color w:val="000000"/>
          <w:sz w:val="32"/>
          <w:szCs w:val="32"/>
          <w:lang w:val="en-US" w:eastAsia="zh-CN"/>
        </w:rPr>
        <w:t>。</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eastAsia="仿宋_GB2312"/>
          <w:color w:val="000000"/>
          <w:sz w:val="32"/>
          <w:szCs w:val="32"/>
          <w:lang w:val="en-US" w:eastAsia="zh-CN"/>
        </w:rPr>
        <w:t>2210201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指单位按有关规定对住房公积金的使用。</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10</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5"/>
          <w:rFonts w:ascii="黑体" w:hAnsi="黑体" w:eastAsia="黑体"/>
          <w:b w:val="0"/>
        </w:rPr>
      </w:pPr>
      <w:r>
        <w:rPr>
          <w:rFonts w:ascii="宋体"/>
          <w:b/>
          <w:color w:val="000000"/>
          <w:sz w:val="44"/>
          <w:szCs w:val="44"/>
        </w:rPr>
        <w:br w:type="page"/>
      </w:r>
      <w:bookmarkStart w:id="59"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9"/>
    </w:p>
    <w:p>
      <w:pPr>
        <w:spacing w:line="600" w:lineRule="exact"/>
        <w:jc w:val="center"/>
        <w:outlineLvl w:val="0"/>
        <w:rPr>
          <w:rStyle w:val="25"/>
        </w:rPr>
      </w:pPr>
    </w:p>
    <w:p>
      <w:pPr>
        <w:pStyle w:val="3"/>
        <w:rPr>
          <w:rStyle w:val="25"/>
          <w:rFonts w:ascii="仿宋" w:hAnsi="仿宋" w:eastAsia="仿宋"/>
          <w:b w:val="0"/>
          <w:bCs w:val="0"/>
          <w:sz w:val="32"/>
          <w:szCs w:val="32"/>
        </w:rPr>
      </w:pPr>
      <w:bookmarkStart w:id="60" w:name="_Toc15396615"/>
      <w:r>
        <w:rPr>
          <w:rStyle w:val="25"/>
          <w:rFonts w:hint="eastAsia" w:ascii="仿宋" w:hAnsi="仿宋" w:eastAsia="仿宋"/>
          <w:b w:val="0"/>
          <w:bCs w:val="0"/>
          <w:sz w:val="32"/>
          <w:szCs w:val="32"/>
        </w:rPr>
        <w:t>附件1</w:t>
      </w:r>
      <w:bookmarkEnd w:id="60"/>
    </w:p>
    <w:p>
      <w:pPr>
        <w:spacing w:line="600" w:lineRule="exact"/>
        <w:jc w:val="center"/>
        <w:outlineLvl w:val="0"/>
        <w:rPr>
          <w:rFonts w:hint="eastAsia" w:ascii="黑体" w:hAnsi="黑体" w:eastAsia="黑体" w:cs="黑体"/>
          <w:sz w:val="36"/>
          <w:szCs w:val="36"/>
        </w:rPr>
      </w:pPr>
      <w:bookmarkStart w:id="61" w:name="_Toc15396616"/>
      <w:r>
        <w:rPr>
          <w:rFonts w:hint="eastAsia" w:ascii="黑体" w:hAnsi="黑体" w:eastAsia="黑体" w:cs="黑体"/>
          <w:sz w:val="36"/>
          <w:szCs w:val="36"/>
        </w:rPr>
        <w:t>中共阿坝县纪律检查委员会</w:t>
      </w:r>
    </w:p>
    <w:p>
      <w:pPr>
        <w:spacing w:line="600" w:lineRule="exact"/>
        <w:jc w:val="center"/>
        <w:outlineLvl w:val="0"/>
        <w:rPr>
          <w:rFonts w:ascii="黑体" w:hAnsi="黑体" w:eastAsia="黑体" w:cs="方正小标宋简体"/>
          <w:sz w:val="36"/>
          <w:szCs w:val="36"/>
        </w:rPr>
      </w:pPr>
      <w:r>
        <w:rPr>
          <w:rFonts w:hint="eastAsia" w:ascii="黑体" w:hAnsi="黑体" w:eastAsia="黑体" w:cs="黑体"/>
          <w:sz w:val="36"/>
          <w:szCs w:val="36"/>
        </w:rPr>
        <w:t>201</w:t>
      </w:r>
      <w:r>
        <w:rPr>
          <w:rFonts w:hint="eastAsia" w:ascii="黑体" w:hAnsi="黑体" w:eastAsia="黑体" w:cs="黑体"/>
          <w:sz w:val="36"/>
          <w:szCs w:val="36"/>
          <w:lang w:val="en-US" w:eastAsia="zh-CN"/>
        </w:rPr>
        <w:t>9</w:t>
      </w:r>
      <w:r>
        <w:rPr>
          <w:rFonts w:hint="eastAsia" w:ascii="黑体" w:hAnsi="黑体" w:eastAsia="黑体" w:cs="黑体"/>
          <w:sz w:val="36"/>
          <w:szCs w:val="36"/>
        </w:rPr>
        <w:t>年</w:t>
      </w:r>
      <w:r>
        <w:rPr>
          <w:rFonts w:hint="eastAsia" w:ascii="黑体" w:hAnsi="黑体" w:eastAsia="黑体" w:cs="方正小标宋简体"/>
          <w:sz w:val="36"/>
          <w:szCs w:val="36"/>
        </w:rPr>
        <w:t>部门整体支出绩效评价报告</w:t>
      </w:r>
      <w:bookmarkEnd w:id="61"/>
    </w:p>
    <w:p>
      <w:pPr>
        <w:spacing w:line="580" w:lineRule="exact"/>
        <w:ind w:firstLine="640" w:firstLineChars="200"/>
        <w:rPr>
          <w:rFonts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一、单位概况</w:t>
      </w:r>
    </w:p>
    <w:p>
      <w:pPr>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（一）机构组成。</w:t>
      </w:r>
      <w:r>
        <w:rPr>
          <w:rFonts w:hint="eastAsia" w:ascii="仿宋_GB2312" w:hAnsi="仿宋_GB2312" w:eastAsia="仿宋_GB2312" w:cs="仿宋_GB2312"/>
          <w:sz w:val="32"/>
          <w:szCs w:val="32"/>
        </w:rPr>
        <w:t>根据文件规定，中共阿坝县纪律检查委员会与阿坝县监察委员会、阿坝县委巡察办</w:t>
      </w:r>
      <w:r>
        <w:rPr>
          <w:rFonts w:hint="eastAsia" w:ascii="仿宋_GB2312" w:hAnsi="仿宋_GB2312" w:eastAsia="仿宋_GB2312" w:cs="仿宋_GB2312"/>
          <w:sz w:val="32"/>
          <w:szCs w:val="32"/>
          <w:lang w:eastAsia="zh-CN"/>
        </w:rPr>
        <w:t>、派驻纪检监察组</w:t>
      </w:r>
      <w:r>
        <w:rPr>
          <w:rFonts w:hint="eastAsia" w:ascii="仿宋_GB2312" w:hAnsi="仿宋_GB2312" w:eastAsia="仿宋_GB2312" w:cs="仿宋_GB2312"/>
          <w:sz w:val="32"/>
          <w:szCs w:val="32"/>
        </w:rPr>
        <w:t>合署办公，实行一套工作机构的体制</w:t>
      </w:r>
      <w:r>
        <w:rPr>
          <w:rFonts w:hint="eastAsia" w:ascii="仿宋_GB2312" w:hAnsi="仿宋_GB2312" w:eastAsia="仿宋_GB2312" w:cs="仿宋_GB2312"/>
          <w:sz w:val="32"/>
          <w:szCs w:val="32"/>
          <w:lang w:eastAsia="zh-CN"/>
        </w:rPr>
        <w:t>。</w:t>
      </w:r>
    </w:p>
    <w:p>
      <w:pPr>
        <w:snapToGrid w:val="0"/>
        <w:spacing w:line="52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（二）机构职能。</w:t>
      </w:r>
      <w:r>
        <w:rPr>
          <w:rFonts w:hint="eastAsia" w:ascii="仿宋_GB2312" w:hAnsi="仿宋_GB2312" w:eastAsia="仿宋_GB2312" w:cs="仿宋_GB2312"/>
          <w:sz w:val="32"/>
          <w:szCs w:val="32"/>
        </w:rPr>
        <w:t>履行党的纪律检查、国家监察和县级巡察职能。</w:t>
      </w:r>
    </w:p>
    <w:p>
      <w:pPr>
        <w:snapToGrid w:val="0"/>
        <w:spacing w:line="576"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（三）人员概况。</w:t>
      </w:r>
      <w:r>
        <w:rPr>
          <w:rFonts w:hint="eastAsia" w:ascii="仿宋_GB2312" w:hAnsi="华文中宋" w:eastAsia="仿宋_GB2312"/>
          <w:bCs/>
          <w:sz w:val="32"/>
          <w:szCs w:val="32"/>
        </w:rPr>
        <w:t>我委局为独立核算全额拨款行政单位，截止201</w:t>
      </w:r>
      <w:r>
        <w:rPr>
          <w:rFonts w:hint="eastAsia" w:ascii="仿宋_GB2312" w:hAnsi="华文中宋" w:eastAsia="仿宋_GB2312"/>
          <w:bCs/>
          <w:sz w:val="32"/>
          <w:szCs w:val="32"/>
          <w:lang w:val="en-US" w:eastAsia="zh-CN"/>
        </w:rPr>
        <w:t>9</w:t>
      </w:r>
      <w:r>
        <w:rPr>
          <w:rFonts w:hint="eastAsia" w:ascii="仿宋_GB2312" w:hAnsi="华文中宋" w:eastAsia="仿宋_GB2312"/>
          <w:bCs/>
          <w:sz w:val="32"/>
          <w:szCs w:val="32"/>
        </w:rPr>
        <w:t>年底我单位共有编制</w:t>
      </w:r>
      <w:r>
        <w:rPr>
          <w:rFonts w:hint="eastAsia" w:ascii="仿宋_GB2312" w:hAnsi="华文中宋" w:eastAsia="仿宋_GB2312"/>
          <w:bCs/>
          <w:sz w:val="32"/>
          <w:szCs w:val="32"/>
          <w:lang w:val="en-US" w:eastAsia="zh-CN"/>
        </w:rPr>
        <w:t>47</w:t>
      </w:r>
      <w:r>
        <w:rPr>
          <w:rFonts w:hint="eastAsia" w:ascii="仿宋_GB2312" w:hAnsi="华文中宋" w:eastAsia="仿宋_GB2312"/>
          <w:bCs/>
          <w:sz w:val="32"/>
          <w:szCs w:val="32"/>
        </w:rPr>
        <w:t>个，其中公务员编制</w:t>
      </w:r>
      <w:r>
        <w:rPr>
          <w:rFonts w:hint="eastAsia" w:ascii="仿宋_GB2312" w:hAnsi="华文中宋" w:eastAsia="仿宋_GB2312"/>
          <w:bCs/>
          <w:sz w:val="32"/>
          <w:szCs w:val="32"/>
          <w:lang w:val="en-US" w:eastAsia="zh-CN"/>
        </w:rPr>
        <w:t>44</w:t>
      </w:r>
      <w:r>
        <w:rPr>
          <w:rFonts w:hint="eastAsia" w:ascii="仿宋_GB2312" w:hAnsi="华文中宋" w:eastAsia="仿宋_GB2312"/>
          <w:bCs/>
          <w:sz w:val="32"/>
          <w:szCs w:val="32"/>
        </w:rPr>
        <w:t>个，行政工勤编制3个。较上年增加</w:t>
      </w:r>
      <w:r>
        <w:rPr>
          <w:rFonts w:hint="eastAsia" w:ascii="仿宋_GB2312" w:hAnsi="华文中宋" w:eastAsia="仿宋_GB2312"/>
          <w:bCs/>
          <w:sz w:val="32"/>
          <w:szCs w:val="32"/>
          <w:lang w:val="en-US" w:eastAsia="zh-CN"/>
        </w:rPr>
        <w:t>22</w:t>
      </w:r>
      <w:r>
        <w:rPr>
          <w:rFonts w:hint="eastAsia" w:ascii="仿宋_GB2312" w:hAnsi="华文中宋" w:eastAsia="仿宋_GB2312"/>
          <w:bCs/>
          <w:sz w:val="32"/>
          <w:szCs w:val="32"/>
        </w:rPr>
        <w:t>个，是因为</w:t>
      </w:r>
      <w:r>
        <w:rPr>
          <w:rFonts w:hint="eastAsia" w:ascii="仿宋_GB2312" w:hAnsi="华文中宋" w:eastAsia="仿宋_GB2312"/>
          <w:bCs/>
          <w:sz w:val="32"/>
          <w:szCs w:val="32"/>
          <w:lang w:eastAsia="zh-CN"/>
        </w:rPr>
        <w:t>派驻纪检组</w:t>
      </w:r>
      <w:r>
        <w:rPr>
          <w:rFonts w:hint="eastAsia" w:ascii="仿宋_GB2312" w:hAnsi="华文中宋" w:eastAsia="仿宋_GB2312"/>
          <w:bCs/>
          <w:sz w:val="32"/>
          <w:szCs w:val="32"/>
        </w:rPr>
        <w:t>合署办公。目前在职职工</w:t>
      </w:r>
      <w:r>
        <w:rPr>
          <w:rFonts w:hint="eastAsia" w:ascii="仿宋_GB2312" w:hAnsi="华文中宋" w:eastAsia="仿宋_GB2312"/>
          <w:bCs/>
          <w:sz w:val="32"/>
          <w:szCs w:val="32"/>
          <w:lang w:val="en-US" w:eastAsia="zh-CN"/>
        </w:rPr>
        <w:t>35</w:t>
      </w:r>
      <w:r>
        <w:rPr>
          <w:rFonts w:hint="eastAsia" w:ascii="仿宋_GB2312" w:hAnsi="华文中宋" w:eastAsia="仿宋_GB2312"/>
          <w:bCs/>
          <w:sz w:val="32"/>
          <w:szCs w:val="32"/>
        </w:rPr>
        <w:t>人，其中公务员</w:t>
      </w:r>
      <w:r>
        <w:rPr>
          <w:rFonts w:hint="eastAsia" w:ascii="仿宋_GB2312" w:hAnsi="华文中宋" w:eastAsia="仿宋_GB2312"/>
          <w:bCs/>
          <w:sz w:val="32"/>
          <w:szCs w:val="32"/>
          <w:lang w:val="en-US" w:eastAsia="zh-CN"/>
        </w:rPr>
        <w:t>32</w:t>
      </w:r>
      <w:r>
        <w:rPr>
          <w:rFonts w:hint="eastAsia" w:ascii="仿宋_GB2312" w:hAnsi="华文中宋" w:eastAsia="仿宋_GB2312"/>
          <w:bCs/>
          <w:sz w:val="32"/>
          <w:szCs w:val="32"/>
        </w:rPr>
        <w:t>人，工勤人员3人，是独立核算的机构，是独立编报预算的单位。</w:t>
      </w:r>
    </w:p>
    <w:p>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二、部门财政资金收支情况</w:t>
      </w:r>
    </w:p>
    <w:p>
      <w:pPr>
        <w:widowControl/>
        <w:adjustRightInd w:val="0"/>
        <w:snapToGrid w:val="0"/>
        <w:spacing w:line="576" w:lineRule="exact"/>
        <w:ind w:firstLine="72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sz w:val="32"/>
          <w:szCs w:val="32"/>
        </w:rPr>
        <w:t>（一）部门财政资金收入情况。</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年初</w:t>
      </w:r>
      <w:r>
        <w:rPr>
          <w:rFonts w:hint="eastAsia" w:ascii="仿宋_GB2312" w:hAnsi="仿宋_GB2312" w:eastAsia="仿宋_GB2312" w:cs="仿宋_GB2312"/>
          <w:sz w:val="32"/>
          <w:szCs w:val="32"/>
        </w:rPr>
        <w:t>收入预算</w:t>
      </w:r>
      <w:r>
        <w:rPr>
          <w:rFonts w:hint="eastAsia" w:ascii="仿宋_GB2312" w:hAnsi="仿宋_GB2312" w:eastAsia="仿宋_GB2312" w:cs="仿宋_GB2312"/>
          <w:sz w:val="32"/>
          <w:szCs w:val="32"/>
          <w:lang w:eastAsia="zh-CN"/>
        </w:rPr>
        <w:t>数</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714.9</w:t>
      </w:r>
      <w:r>
        <w:rPr>
          <w:rFonts w:hint="eastAsia" w:ascii="仿宋_GB2312" w:hAnsi="仿宋_GB2312" w:eastAsia="仿宋_GB2312" w:cs="仿宋_GB2312"/>
          <w:sz w:val="32"/>
          <w:szCs w:val="32"/>
        </w:rPr>
        <w:t>万元</w:t>
      </w:r>
      <w:r>
        <w:rPr>
          <w:rFonts w:hint="eastAsia" w:ascii="仿宋_GB2312" w:hAnsi="仿宋_GB2312" w:eastAsia="仿宋_GB2312" w:cs="仿宋_GB2312"/>
          <w:bCs/>
          <w:color w:val="444444"/>
          <w:sz w:val="32"/>
          <w:szCs w:val="32"/>
        </w:rPr>
        <w:t>，调整预算数</w:t>
      </w:r>
      <w:r>
        <w:rPr>
          <w:rFonts w:hint="eastAsia" w:ascii="仿宋_GB2312" w:hAnsi="仿宋_GB2312" w:eastAsia="仿宋_GB2312" w:cs="仿宋_GB2312"/>
          <w:bCs/>
          <w:color w:val="444444"/>
          <w:sz w:val="32"/>
          <w:szCs w:val="32"/>
          <w:lang w:val="en-US" w:eastAsia="zh-CN"/>
        </w:rPr>
        <w:t>761.59</w:t>
      </w:r>
      <w:r>
        <w:rPr>
          <w:rFonts w:hint="eastAsia" w:ascii="仿宋_GB2312" w:hAnsi="仿宋_GB2312" w:eastAsia="仿宋_GB2312" w:cs="仿宋_GB2312"/>
          <w:bCs/>
          <w:color w:val="444444"/>
          <w:sz w:val="32"/>
          <w:szCs w:val="32"/>
        </w:rPr>
        <w:t>万元，</w:t>
      </w:r>
      <w:r>
        <w:rPr>
          <w:rFonts w:hint="eastAsia" w:ascii="仿宋_GB2312" w:hAnsi="仿宋_GB2312" w:eastAsia="仿宋_GB2312" w:cs="仿宋_GB2312"/>
          <w:bCs/>
          <w:color w:val="444444"/>
          <w:sz w:val="32"/>
          <w:szCs w:val="32"/>
          <w:lang w:eastAsia="zh-CN"/>
        </w:rPr>
        <w:t>财政应返回额度</w:t>
      </w:r>
      <w:r>
        <w:rPr>
          <w:rFonts w:hint="eastAsia" w:ascii="仿宋_GB2312" w:hAnsi="仿宋_GB2312" w:eastAsia="仿宋_GB2312" w:cs="仿宋_GB2312"/>
          <w:bCs/>
          <w:color w:val="444444"/>
          <w:sz w:val="32"/>
          <w:szCs w:val="32"/>
          <w:lang w:val="en-US" w:eastAsia="zh-CN"/>
        </w:rPr>
        <w:t>46.96万元，</w:t>
      </w:r>
      <w:r>
        <w:rPr>
          <w:rFonts w:hint="eastAsia" w:ascii="仿宋_GB2312" w:hAnsi="仿宋_GB2312" w:eastAsia="仿宋_GB2312" w:cs="仿宋_GB2312"/>
          <w:bCs/>
          <w:color w:val="444444"/>
          <w:sz w:val="32"/>
          <w:szCs w:val="32"/>
        </w:rPr>
        <w:t>决算</w:t>
      </w:r>
      <w:r>
        <w:rPr>
          <w:rFonts w:hint="eastAsia" w:ascii="仿宋_GB2312" w:hAnsi="仿宋_GB2312" w:eastAsia="仿宋_GB2312" w:cs="仿宋_GB2312"/>
          <w:bCs/>
          <w:color w:val="444444"/>
          <w:sz w:val="32"/>
          <w:szCs w:val="32"/>
          <w:lang w:eastAsia="zh-CN"/>
        </w:rPr>
        <w:t>收入</w:t>
      </w:r>
      <w:r>
        <w:rPr>
          <w:rFonts w:hint="eastAsia" w:ascii="仿宋_GB2312" w:hAnsi="仿宋_GB2312" w:eastAsia="仿宋_GB2312" w:cs="仿宋_GB2312"/>
          <w:bCs/>
          <w:color w:val="444444"/>
          <w:sz w:val="32"/>
          <w:szCs w:val="32"/>
        </w:rPr>
        <w:t>数</w:t>
      </w:r>
      <w:r>
        <w:rPr>
          <w:rFonts w:hint="eastAsia" w:ascii="仿宋_GB2312" w:hAnsi="仿宋_GB2312" w:eastAsia="仿宋_GB2312" w:cs="仿宋_GB2312"/>
          <w:bCs/>
          <w:color w:val="444444"/>
          <w:sz w:val="32"/>
          <w:szCs w:val="32"/>
          <w:lang w:val="en-US" w:eastAsia="zh-CN"/>
        </w:rPr>
        <w:t>808.55</w:t>
      </w:r>
      <w:r>
        <w:rPr>
          <w:rFonts w:hint="eastAsia" w:ascii="仿宋_GB2312" w:hAnsi="仿宋_GB2312" w:eastAsia="仿宋_GB2312" w:cs="仿宋_GB2312"/>
          <w:bCs/>
          <w:color w:val="444444"/>
          <w:sz w:val="32"/>
          <w:szCs w:val="32"/>
        </w:rPr>
        <w:t>万元。</w:t>
      </w:r>
    </w:p>
    <w:p>
      <w:pPr>
        <w:spacing w:line="580" w:lineRule="exact"/>
        <w:ind w:firstLine="640" w:firstLineChars="200"/>
        <w:rPr>
          <w:rFonts w:hint="eastAsia" w:ascii="仿宋_GB2312" w:hAnsi="仿宋_GB2312" w:eastAsia="仿宋_GB2312" w:cs="仿宋_GB2312"/>
          <w:sz w:val="32"/>
          <w:szCs w:val="32"/>
        </w:rPr>
      </w:pPr>
    </w:p>
    <w:p>
      <w:pPr>
        <w:pStyle w:val="12"/>
        <w:widowControl/>
        <w:shd w:val="clear" w:color="auto" w:fill="FFFFFF"/>
        <w:spacing w:before="0" w:beforeAutospacing="0" w:after="0" w:afterAutospacing="0" w:line="576" w:lineRule="exact"/>
        <w:ind w:firstLine="495"/>
        <w:textAlignment w:val="center"/>
        <w:rPr>
          <w:rFonts w:hint="eastAsia" w:ascii="仿宋_GB2312" w:hAnsi="仿宋_GB2312" w:eastAsia="仿宋_GB2312" w:cs="仿宋_GB2312"/>
          <w:bCs/>
          <w:color w:val="444444"/>
          <w:kern w:val="2"/>
          <w:sz w:val="32"/>
          <w:szCs w:val="32"/>
        </w:rPr>
      </w:pPr>
      <w:r>
        <w:rPr>
          <w:rFonts w:hint="eastAsia" w:ascii="仿宋_GB2312" w:hAnsi="仿宋_GB2312" w:eastAsia="仿宋_GB2312" w:cs="仿宋_GB2312"/>
          <w:b/>
          <w:bCs/>
          <w:sz w:val="32"/>
          <w:szCs w:val="32"/>
        </w:rPr>
        <w:t>（二）部门财政资金支出情况。</w:t>
      </w:r>
      <w:r>
        <w:rPr>
          <w:rFonts w:hint="eastAsia" w:ascii="仿宋_GB2312" w:hAnsi="仿宋_GB2312" w:eastAsia="仿宋_GB2312" w:cs="仿宋_GB2312"/>
          <w:bCs/>
          <w:color w:val="444444"/>
          <w:kern w:val="2"/>
          <w:sz w:val="32"/>
          <w:szCs w:val="32"/>
        </w:rPr>
        <w:t>201</w:t>
      </w:r>
      <w:r>
        <w:rPr>
          <w:rFonts w:hint="eastAsia" w:ascii="仿宋_GB2312" w:hAnsi="仿宋_GB2312" w:eastAsia="仿宋_GB2312" w:cs="仿宋_GB2312"/>
          <w:bCs/>
          <w:color w:val="444444"/>
          <w:kern w:val="2"/>
          <w:sz w:val="32"/>
          <w:szCs w:val="32"/>
          <w:lang w:val="en-US" w:eastAsia="zh-CN"/>
        </w:rPr>
        <w:t>9</w:t>
      </w:r>
      <w:r>
        <w:rPr>
          <w:rFonts w:hint="eastAsia" w:ascii="仿宋_GB2312" w:hAnsi="仿宋_GB2312" w:eastAsia="仿宋_GB2312" w:cs="仿宋_GB2312"/>
          <w:bCs/>
          <w:color w:val="444444"/>
          <w:kern w:val="2"/>
          <w:sz w:val="32"/>
          <w:szCs w:val="32"/>
        </w:rPr>
        <w:t>年年初预算支出数为</w:t>
      </w:r>
      <w:r>
        <w:rPr>
          <w:rFonts w:hint="eastAsia" w:ascii="仿宋_GB2312" w:hAnsi="仿宋_GB2312" w:eastAsia="仿宋_GB2312" w:cs="仿宋_GB2312"/>
          <w:bCs/>
          <w:color w:val="444444"/>
          <w:kern w:val="2"/>
          <w:sz w:val="32"/>
          <w:szCs w:val="32"/>
          <w:lang w:val="en-US" w:eastAsia="zh-CN"/>
        </w:rPr>
        <w:t>714.9</w:t>
      </w:r>
      <w:r>
        <w:rPr>
          <w:rFonts w:hint="eastAsia" w:ascii="仿宋_GB2312" w:hAnsi="仿宋_GB2312" w:eastAsia="仿宋_GB2312" w:cs="仿宋_GB2312"/>
          <w:bCs/>
          <w:color w:val="444444"/>
          <w:kern w:val="2"/>
          <w:sz w:val="32"/>
          <w:szCs w:val="32"/>
        </w:rPr>
        <w:t>元，调整预算数</w:t>
      </w:r>
      <w:r>
        <w:rPr>
          <w:rFonts w:hint="eastAsia" w:ascii="仿宋_GB2312" w:hAnsi="仿宋_GB2312" w:eastAsia="仿宋_GB2312" w:cs="仿宋_GB2312"/>
          <w:bCs/>
          <w:color w:val="444444"/>
          <w:kern w:val="2"/>
          <w:sz w:val="32"/>
          <w:szCs w:val="32"/>
          <w:lang w:val="en-US" w:eastAsia="zh-CN"/>
        </w:rPr>
        <w:t>808.55</w:t>
      </w:r>
      <w:r>
        <w:rPr>
          <w:rFonts w:hint="eastAsia" w:ascii="仿宋_GB2312" w:hAnsi="仿宋_GB2312" w:eastAsia="仿宋_GB2312" w:cs="仿宋_GB2312"/>
          <w:bCs/>
          <w:color w:val="444444"/>
          <w:kern w:val="2"/>
          <w:sz w:val="32"/>
          <w:szCs w:val="32"/>
        </w:rPr>
        <w:t>元，决算</w:t>
      </w:r>
      <w:r>
        <w:rPr>
          <w:rFonts w:hint="eastAsia" w:ascii="仿宋_GB2312" w:hAnsi="仿宋_GB2312" w:eastAsia="仿宋_GB2312" w:cs="仿宋_GB2312"/>
          <w:bCs/>
          <w:color w:val="444444"/>
          <w:kern w:val="2"/>
          <w:sz w:val="32"/>
          <w:szCs w:val="32"/>
          <w:lang w:eastAsia="zh-CN"/>
        </w:rPr>
        <w:t>支出</w:t>
      </w:r>
      <w:r>
        <w:rPr>
          <w:rFonts w:hint="eastAsia" w:ascii="仿宋_GB2312" w:hAnsi="仿宋_GB2312" w:eastAsia="仿宋_GB2312" w:cs="仿宋_GB2312"/>
          <w:bCs/>
          <w:color w:val="444444"/>
          <w:kern w:val="2"/>
          <w:sz w:val="32"/>
          <w:szCs w:val="32"/>
        </w:rPr>
        <w:t>数</w:t>
      </w:r>
      <w:r>
        <w:rPr>
          <w:rFonts w:hint="eastAsia" w:ascii="仿宋_GB2312" w:hAnsi="仿宋_GB2312" w:eastAsia="仿宋_GB2312" w:cs="仿宋_GB2312"/>
          <w:bCs/>
          <w:color w:val="444444"/>
          <w:kern w:val="2"/>
          <w:sz w:val="32"/>
          <w:szCs w:val="32"/>
          <w:lang w:val="en-US" w:eastAsia="zh-CN"/>
        </w:rPr>
        <w:t>808.55</w:t>
      </w:r>
      <w:r>
        <w:rPr>
          <w:rFonts w:hint="eastAsia" w:ascii="仿宋_GB2312" w:hAnsi="仿宋_GB2312" w:eastAsia="仿宋_GB2312" w:cs="仿宋_GB2312"/>
          <w:bCs/>
          <w:color w:val="444444"/>
          <w:kern w:val="2"/>
          <w:sz w:val="32"/>
          <w:szCs w:val="32"/>
        </w:rPr>
        <w:t>万元。其中基本支出</w:t>
      </w:r>
      <w:r>
        <w:rPr>
          <w:rFonts w:hint="eastAsia" w:ascii="仿宋_GB2312" w:hAnsi="仿宋_GB2312" w:eastAsia="仿宋_GB2312" w:cs="仿宋_GB2312"/>
          <w:bCs/>
          <w:color w:val="444444"/>
          <w:kern w:val="2"/>
          <w:sz w:val="32"/>
          <w:szCs w:val="32"/>
          <w:lang w:val="en-US" w:eastAsia="zh-CN"/>
        </w:rPr>
        <w:t>761.59</w:t>
      </w:r>
      <w:r>
        <w:rPr>
          <w:rFonts w:hint="eastAsia" w:ascii="仿宋_GB2312" w:hAnsi="仿宋_GB2312" w:eastAsia="仿宋_GB2312" w:cs="仿宋_GB2312"/>
          <w:bCs/>
          <w:color w:val="444444"/>
          <w:kern w:val="2"/>
          <w:sz w:val="32"/>
          <w:szCs w:val="32"/>
        </w:rPr>
        <w:t>万元，年末结转和结余</w:t>
      </w:r>
      <w:r>
        <w:rPr>
          <w:rFonts w:hint="eastAsia" w:ascii="仿宋_GB2312" w:hAnsi="仿宋_GB2312" w:eastAsia="仿宋_GB2312" w:cs="仿宋_GB2312"/>
          <w:bCs/>
          <w:color w:val="444444"/>
          <w:kern w:val="2"/>
          <w:sz w:val="32"/>
          <w:szCs w:val="32"/>
          <w:lang w:val="en-US" w:eastAsia="zh-CN"/>
        </w:rPr>
        <w:t>46.96</w:t>
      </w:r>
      <w:r>
        <w:rPr>
          <w:rFonts w:hint="eastAsia" w:ascii="仿宋_GB2312" w:hAnsi="仿宋_GB2312" w:eastAsia="仿宋_GB2312" w:cs="仿宋_GB2312"/>
          <w:bCs/>
          <w:color w:val="444444"/>
          <w:kern w:val="2"/>
          <w:sz w:val="32"/>
          <w:szCs w:val="32"/>
        </w:rPr>
        <w:t>万元。具体如下：</w:t>
      </w:r>
    </w:p>
    <w:p>
      <w:pPr>
        <w:snapToGrid w:val="0"/>
        <w:spacing w:line="576" w:lineRule="exact"/>
        <w:ind w:firstLine="640" w:firstLineChars="200"/>
        <w:rPr>
          <w:rFonts w:hint="eastAsia" w:ascii="仿宋_GB2312" w:hAnsi="仿宋_GB2312" w:eastAsia="仿宋_GB2312" w:cs="仿宋_GB2312"/>
          <w:bCs/>
          <w:color w:val="444444"/>
          <w:sz w:val="32"/>
          <w:szCs w:val="32"/>
        </w:rPr>
      </w:pPr>
      <w:r>
        <w:rPr>
          <w:rFonts w:hint="eastAsia" w:ascii="仿宋_GB2312" w:hAnsi="仿宋_GB2312" w:eastAsia="仿宋_GB2312" w:cs="仿宋_GB2312"/>
          <w:bCs/>
          <w:color w:val="444444"/>
          <w:sz w:val="32"/>
          <w:szCs w:val="32"/>
        </w:rPr>
        <w:t>按功能分类支出情况（201</w:t>
      </w:r>
      <w:r>
        <w:rPr>
          <w:rFonts w:hint="eastAsia" w:ascii="仿宋_GB2312" w:hAnsi="仿宋_GB2312" w:eastAsia="仿宋_GB2312" w:cs="仿宋_GB2312"/>
          <w:bCs/>
          <w:color w:val="444444"/>
          <w:sz w:val="32"/>
          <w:szCs w:val="32"/>
          <w:lang w:val="en-US" w:eastAsia="zh-CN"/>
        </w:rPr>
        <w:t>8</w:t>
      </w:r>
      <w:r>
        <w:rPr>
          <w:rFonts w:hint="eastAsia" w:ascii="仿宋_GB2312" w:hAnsi="仿宋_GB2312" w:eastAsia="仿宋_GB2312" w:cs="仿宋_GB2312"/>
          <w:bCs/>
          <w:color w:val="444444"/>
          <w:sz w:val="32"/>
          <w:szCs w:val="32"/>
        </w:rPr>
        <w:t>年按功能分类实际支出</w:t>
      </w:r>
      <w:r>
        <w:rPr>
          <w:rFonts w:hint="eastAsia" w:ascii="仿宋_GB2312" w:hAnsi="仿宋_GB2312" w:eastAsia="仿宋_GB2312" w:cs="仿宋_GB2312"/>
          <w:bCs/>
          <w:color w:val="444444"/>
          <w:sz w:val="32"/>
          <w:szCs w:val="32"/>
          <w:lang w:val="en-US" w:eastAsia="zh-CN"/>
        </w:rPr>
        <w:t>634.34</w:t>
      </w:r>
      <w:r>
        <w:rPr>
          <w:rFonts w:hint="eastAsia" w:ascii="仿宋_GB2312" w:hAnsi="仿宋_GB2312" w:eastAsia="仿宋_GB2312" w:cs="仿宋_GB2312"/>
          <w:bCs/>
          <w:color w:val="444444"/>
          <w:sz w:val="32"/>
          <w:szCs w:val="32"/>
        </w:rPr>
        <w:t>万元）</w:t>
      </w:r>
    </w:p>
    <w:p>
      <w:pPr>
        <w:snapToGrid w:val="0"/>
        <w:spacing w:line="576" w:lineRule="exact"/>
        <w:ind w:firstLine="643" w:firstLineChars="200"/>
        <w:rPr>
          <w:rFonts w:hint="eastAsia" w:ascii="仿宋_GB2312" w:hAnsi="仿宋_GB2312" w:eastAsia="仿宋_GB2312" w:cs="仿宋_GB2312"/>
          <w:b/>
          <w:bCs/>
          <w:color w:val="000000"/>
          <w:sz w:val="32"/>
          <w:szCs w:val="32"/>
        </w:rPr>
      </w:pPr>
      <w:r>
        <w:rPr>
          <w:rStyle w:val="15"/>
          <w:rFonts w:hint="eastAsia" w:ascii="仿宋_GB2312" w:hAnsi="仿宋_GB2312" w:eastAsia="仿宋_GB2312" w:cs="仿宋_GB2312"/>
          <w:color w:val="000000"/>
          <w:sz w:val="32"/>
          <w:szCs w:val="32"/>
        </w:rPr>
        <w:t>1.201-一般公共服务支出</w:t>
      </w:r>
      <w:r>
        <w:rPr>
          <w:rFonts w:hint="eastAsia" w:ascii="仿宋_GB2312" w:hAnsi="仿宋_GB2312" w:eastAsia="仿宋_GB2312" w:cs="仿宋_GB2312"/>
          <w:sz w:val="32"/>
          <w:szCs w:val="32"/>
          <w:lang w:val="en-US" w:eastAsia="zh-CN"/>
        </w:rPr>
        <w:t>545.86</w:t>
      </w:r>
      <w:r>
        <w:rPr>
          <w:rStyle w:val="15"/>
          <w:rFonts w:hint="eastAsia" w:ascii="仿宋_GB2312" w:hAnsi="仿宋_GB2312" w:eastAsia="仿宋_GB2312" w:cs="仿宋_GB2312"/>
          <w:color w:val="000000"/>
          <w:sz w:val="32"/>
          <w:szCs w:val="32"/>
        </w:rPr>
        <w:t>万元.</w:t>
      </w:r>
    </w:p>
    <w:p>
      <w:pPr>
        <w:spacing w:line="576" w:lineRule="exact"/>
        <w:ind w:firstLine="643" w:firstLineChars="200"/>
        <w:rPr>
          <w:rFonts w:hint="eastAsia" w:ascii="仿宋_GB2312" w:hAnsi="仿宋_GB2312" w:eastAsia="仿宋_GB2312" w:cs="仿宋_GB2312"/>
          <w:sz w:val="32"/>
          <w:szCs w:val="32"/>
        </w:rPr>
      </w:pPr>
      <w:r>
        <w:rPr>
          <w:rStyle w:val="15"/>
          <w:rFonts w:hint="eastAsia" w:ascii="仿宋_GB2312" w:hAnsi="仿宋_GB2312" w:eastAsia="仿宋_GB2312" w:cs="仿宋_GB2312"/>
          <w:color w:val="000000"/>
          <w:sz w:val="32"/>
          <w:szCs w:val="32"/>
        </w:rPr>
        <w:t>2.208-社会保障和就业支出</w:t>
      </w:r>
      <w:r>
        <w:rPr>
          <w:rFonts w:hint="eastAsia" w:ascii="仿宋_GB2312" w:hAnsi="仿宋_GB2312" w:eastAsia="仿宋_GB2312" w:cs="仿宋_GB2312"/>
          <w:sz w:val="32"/>
          <w:szCs w:val="32"/>
          <w:lang w:val="en-US" w:eastAsia="zh-CN"/>
        </w:rPr>
        <w:t>78.77</w:t>
      </w:r>
      <w:r>
        <w:rPr>
          <w:rFonts w:hint="eastAsia" w:ascii="仿宋_GB2312" w:hAnsi="仿宋_GB2312" w:eastAsia="仿宋_GB2312" w:cs="仿宋_GB2312"/>
          <w:sz w:val="32"/>
          <w:szCs w:val="32"/>
        </w:rPr>
        <w:t>万元，</w:t>
      </w:r>
      <w:r>
        <w:rPr>
          <w:rFonts w:hint="eastAsia" w:ascii="仿宋_GB2312" w:hAnsi="仿宋_GB2312" w:eastAsia="仿宋_GB2312" w:cs="仿宋_GB2312"/>
          <w:bCs/>
          <w:color w:val="444444"/>
          <w:sz w:val="32"/>
          <w:szCs w:val="32"/>
        </w:rPr>
        <w:t>主要用于机关事业单位基本养老保险缴费支出，机关事业单位职业年金缴费支出。</w:t>
      </w:r>
    </w:p>
    <w:p>
      <w:pPr>
        <w:spacing w:line="576" w:lineRule="exact"/>
        <w:ind w:firstLine="643" w:firstLineChars="200"/>
        <w:rPr>
          <w:rStyle w:val="15"/>
          <w:rFonts w:hint="eastAsia" w:ascii="仿宋_GB2312" w:hAnsi="仿宋_GB2312" w:eastAsia="仿宋_GB2312" w:cs="仿宋_GB2312"/>
          <w:b w:val="0"/>
          <w:color w:val="000000"/>
          <w:sz w:val="32"/>
          <w:szCs w:val="32"/>
        </w:rPr>
      </w:pPr>
      <w:r>
        <w:rPr>
          <w:rStyle w:val="15"/>
          <w:rFonts w:hint="eastAsia" w:ascii="仿宋_GB2312" w:hAnsi="仿宋_GB2312" w:eastAsia="仿宋_GB2312" w:cs="仿宋_GB2312"/>
          <w:color w:val="000000"/>
          <w:sz w:val="32"/>
          <w:szCs w:val="32"/>
        </w:rPr>
        <w:t>3.210-医疗卫生与计划生育支出</w:t>
      </w:r>
      <w:r>
        <w:rPr>
          <w:rFonts w:hint="eastAsia" w:ascii="仿宋_GB2312" w:hAnsi="仿宋_GB2312" w:eastAsia="仿宋_GB2312" w:cs="仿宋_GB2312"/>
          <w:sz w:val="32"/>
          <w:szCs w:val="32"/>
          <w:lang w:val="en-US" w:eastAsia="zh-CN"/>
        </w:rPr>
        <w:t>28.91</w:t>
      </w:r>
      <w:r>
        <w:rPr>
          <w:rStyle w:val="15"/>
          <w:rFonts w:hint="eastAsia" w:ascii="仿宋_GB2312" w:hAnsi="仿宋_GB2312" w:eastAsia="仿宋_GB2312" w:cs="仿宋_GB2312"/>
          <w:color w:val="000000"/>
          <w:sz w:val="32"/>
          <w:szCs w:val="32"/>
        </w:rPr>
        <w:t>万元，</w:t>
      </w:r>
      <w:r>
        <w:rPr>
          <w:rFonts w:hint="eastAsia" w:ascii="仿宋_GB2312" w:hAnsi="仿宋_GB2312" w:eastAsia="仿宋_GB2312" w:cs="仿宋_GB2312"/>
          <w:bCs/>
          <w:color w:val="444444"/>
          <w:sz w:val="32"/>
          <w:szCs w:val="32"/>
        </w:rPr>
        <w:t>主要用于用于行政单位医疗。</w:t>
      </w:r>
    </w:p>
    <w:p>
      <w:pPr>
        <w:spacing w:line="576" w:lineRule="exact"/>
        <w:ind w:firstLine="643" w:firstLineChars="200"/>
        <w:rPr>
          <w:rFonts w:hint="eastAsia" w:ascii="仿宋_GB2312" w:hAnsi="仿宋_GB2312" w:eastAsia="仿宋_GB2312" w:cs="仿宋_GB2312"/>
          <w:bCs/>
          <w:color w:val="444444"/>
          <w:sz w:val="32"/>
          <w:szCs w:val="32"/>
        </w:rPr>
      </w:pPr>
      <w:r>
        <w:rPr>
          <w:rFonts w:hint="eastAsia" w:ascii="仿宋_GB2312" w:hAnsi="仿宋_GB2312" w:eastAsia="仿宋_GB2312" w:cs="仿宋_GB2312"/>
          <w:b/>
          <w:sz w:val="32"/>
          <w:szCs w:val="32"/>
        </w:rPr>
        <w:t>4.221-住房保障支出</w:t>
      </w:r>
      <w:r>
        <w:rPr>
          <w:rStyle w:val="15"/>
          <w:rFonts w:hint="eastAsia" w:ascii="仿宋_GB2312" w:hAnsi="仿宋_GB2312" w:eastAsia="仿宋_GB2312" w:cs="仿宋_GB2312"/>
          <w:color w:val="000000"/>
          <w:sz w:val="32"/>
          <w:szCs w:val="32"/>
        </w:rPr>
        <w:t>支出</w:t>
      </w:r>
      <w:r>
        <w:rPr>
          <w:rFonts w:hint="eastAsia" w:ascii="仿宋_GB2312" w:hAnsi="仿宋_GB2312" w:eastAsia="仿宋_GB2312" w:cs="仿宋_GB2312"/>
          <w:sz w:val="32"/>
          <w:szCs w:val="32"/>
          <w:lang w:val="en-US" w:eastAsia="zh-CN"/>
        </w:rPr>
        <w:t>49.65</w:t>
      </w:r>
      <w:r>
        <w:rPr>
          <w:rFonts w:hint="eastAsia" w:ascii="仿宋_GB2312" w:hAnsi="仿宋_GB2312" w:eastAsia="仿宋_GB2312" w:cs="仿宋_GB2312"/>
          <w:sz w:val="32"/>
          <w:szCs w:val="32"/>
        </w:rPr>
        <w:t>万元，</w:t>
      </w:r>
      <w:r>
        <w:rPr>
          <w:rFonts w:hint="eastAsia" w:ascii="仿宋_GB2312" w:hAnsi="仿宋_GB2312" w:eastAsia="仿宋_GB2312" w:cs="仿宋_GB2312"/>
          <w:bCs/>
          <w:color w:val="444444"/>
          <w:sz w:val="32"/>
          <w:szCs w:val="32"/>
        </w:rPr>
        <w:t>主要用于住房公积金。</w:t>
      </w:r>
    </w:p>
    <w:p>
      <w:pPr>
        <w:spacing w:line="576" w:lineRule="exact"/>
        <w:ind w:firstLine="643" w:firstLineChars="200"/>
        <w:rPr>
          <w:rFonts w:hint="eastAsia" w:ascii="仿宋_GB2312" w:hAnsi="仿宋_GB2312" w:eastAsia="仿宋_GB2312" w:cs="仿宋_GB2312"/>
          <w:bCs/>
          <w:color w:val="444444"/>
          <w:sz w:val="32"/>
          <w:szCs w:val="32"/>
        </w:rPr>
      </w:pPr>
      <w:r>
        <w:rPr>
          <w:rFonts w:hint="eastAsia" w:ascii="仿宋_GB2312" w:eastAsia="仿宋_GB2312"/>
          <w:b/>
          <w:bCs/>
          <w:color w:val="000000"/>
          <w:sz w:val="32"/>
          <w:szCs w:val="32"/>
          <w:lang w:val="en-US" w:eastAsia="zh-CN"/>
        </w:rPr>
        <w:t>5.229-</w:t>
      </w:r>
      <w:bookmarkStart w:id="62" w:name="_GoBack"/>
      <w:bookmarkEnd w:id="62"/>
      <w:r>
        <w:rPr>
          <w:rFonts w:hint="eastAsia" w:ascii="仿宋_GB2312" w:eastAsia="仿宋_GB2312"/>
          <w:b/>
          <w:bCs/>
          <w:color w:val="000000"/>
          <w:sz w:val="32"/>
          <w:szCs w:val="32"/>
          <w:lang w:eastAsia="zh-CN"/>
        </w:rPr>
        <w:t>其他支出</w:t>
      </w:r>
      <w:r>
        <w:rPr>
          <w:rFonts w:hint="eastAsia" w:ascii="仿宋_GB2312" w:eastAsia="仿宋_GB2312"/>
          <w:color w:val="000000"/>
          <w:sz w:val="32"/>
          <w:szCs w:val="32"/>
          <w:lang w:val="en-US" w:eastAsia="zh-CN"/>
        </w:rPr>
        <w:t>105.37万元。</w:t>
      </w:r>
    </w:p>
    <w:p>
      <w:pPr>
        <w:pStyle w:val="12"/>
        <w:widowControl/>
        <w:shd w:val="clear" w:color="auto" w:fill="FFFFFF"/>
        <w:spacing w:before="0" w:beforeAutospacing="0" w:after="0" w:afterAutospacing="0" w:line="576" w:lineRule="exact"/>
        <w:ind w:firstLine="495"/>
        <w:textAlignment w:val="center"/>
        <w:rPr>
          <w:rFonts w:hint="eastAsia" w:ascii="仿宋_GB2312" w:hAnsi="仿宋_GB2312" w:eastAsia="仿宋_GB2312" w:cs="仿宋_GB2312"/>
          <w:bCs/>
          <w:color w:val="444444"/>
          <w:kern w:val="2"/>
          <w:sz w:val="32"/>
          <w:szCs w:val="32"/>
        </w:rPr>
      </w:pPr>
      <w:r>
        <w:rPr>
          <w:rFonts w:hint="eastAsia" w:ascii="仿宋_GB2312" w:hAnsi="仿宋_GB2312" w:eastAsia="仿宋_GB2312" w:cs="仿宋_GB2312"/>
          <w:bCs/>
          <w:color w:val="444444"/>
          <w:kern w:val="2"/>
          <w:sz w:val="32"/>
          <w:szCs w:val="32"/>
        </w:rPr>
        <w:t>按经济分类支出情况（201</w:t>
      </w:r>
      <w:r>
        <w:rPr>
          <w:rFonts w:hint="eastAsia" w:ascii="仿宋_GB2312" w:hAnsi="仿宋_GB2312" w:eastAsia="仿宋_GB2312" w:cs="仿宋_GB2312"/>
          <w:bCs/>
          <w:color w:val="444444"/>
          <w:kern w:val="2"/>
          <w:sz w:val="32"/>
          <w:szCs w:val="32"/>
          <w:lang w:val="en-US" w:eastAsia="zh-CN"/>
        </w:rPr>
        <w:t>9</w:t>
      </w:r>
      <w:r>
        <w:rPr>
          <w:rFonts w:hint="eastAsia" w:ascii="仿宋_GB2312" w:hAnsi="仿宋_GB2312" w:eastAsia="仿宋_GB2312" w:cs="仿宋_GB2312"/>
          <w:bCs/>
          <w:color w:val="444444"/>
          <w:kern w:val="2"/>
          <w:sz w:val="32"/>
          <w:szCs w:val="32"/>
        </w:rPr>
        <w:t>年按经济分类总支出数为</w:t>
      </w:r>
      <w:r>
        <w:rPr>
          <w:rFonts w:hint="eastAsia" w:ascii="仿宋_GB2312" w:hAnsi="仿宋_GB2312" w:eastAsia="仿宋_GB2312" w:cs="仿宋_GB2312"/>
          <w:bCs/>
          <w:color w:val="444444"/>
          <w:kern w:val="2"/>
          <w:sz w:val="32"/>
          <w:szCs w:val="32"/>
          <w:lang w:val="en-US" w:eastAsia="zh-CN"/>
        </w:rPr>
        <w:t>808.55</w:t>
      </w:r>
      <w:r>
        <w:rPr>
          <w:rFonts w:hint="eastAsia" w:ascii="仿宋_GB2312" w:hAnsi="仿宋_GB2312" w:eastAsia="仿宋_GB2312" w:cs="仿宋_GB2312"/>
          <w:bCs/>
          <w:color w:val="444444"/>
          <w:kern w:val="2"/>
          <w:sz w:val="32"/>
          <w:szCs w:val="32"/>
        </w:rPr>
        <w:t>万元）</w:t>
      </w:r>
    </w:p>
    <w:p>
      <w:pPr>
        <w:spacing w:line="576"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1.人员经费</w:t>
      </w:r>
      <w:r>
        <w:rPr>
          <w:rFonts w:hint="eastAsia" w:ascii="仿宋" w:hAnsi="仿宋" w:eastAsia="仿宋"/>
          <w:color w:val="000000"/>
          <w:sz w:val="32"/>
          <w:szCs w:val="32"/>
          <w:lang w:val="en-US" w:eastAsia="zh-CN"/>
        </w:rPr>
        <w:t>652.86</w:t>
      </w:r>
      <w:r>
        <w:rPr>
          <w:rFonts w:hint="eastAsia" w:ascii="仿宋_GB2312" w:hAnsi="仿宋_GB2312" w:eastAsia="仿宋_GB2312" w:cs="仿宋_GB2312"/>
          <w:b/>
          <w:color w:val="000000"/>
          <w:sz w:val="32"/>
          <w:szCs w:val="32"/>
        </w:rPr>
        <w:t>万元，</w:t>
      </w:r>
      <w:r>
        <w:rPr>
          <w:rFonts w:hint="eastAsia" w:ascii="仿宋_GB2312" w:hAnsi="仿宋_GB2312" w:eastAsia="仿宋_GB2312" w:cs="仿宋_GB2312"/>
          <w:color w:val="000000"/>
          <w:sz w:val="32"/>
          <w:szCs w:val="32"/>
        </w:rPr>
        <w:t>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w:t>
      </w:r>
      <w:r>
        <w:rPr>
          <w:rFonts w:hint="eastAsia" w:ascii="仿宋_GB2312" w:hAnsi="仿宋_GB2312" w:eastAsia="仿宋_GB2312" w:cs="仿宋_GB2312"/>
          <w:b/>
          <w:color w:val="000000"/>
          <w:sz w:val="32"/>
          <w:szCs w:val="32"/>
        </w:rPr>
        <w:t>2.公用经费</w:t>
      </w:r>
      <w:r>
        <w:rPr>
          <w:rFonts w:hint="eastAsia" w:ascii="仿宋_GB2312" w:hAnsi="仿宋_GB2312" w:eastAsia="仿宋_GB2312" w:cs="仿宋_GB2312"/>
          <w:b/>
          <w:color w:val="000000"/>
          <w:sz w:val="32"/>
          <w:szCs w:val="32"/>
          <w:lang w:val="en-US" w:eastAsia="zh-CN"/>
        </w:rPr>
        <w:t>155.69</w:t>
      </w:r>
      <w:r>
        <w:rPr>
          <w:rFonts w:hint="eastAsia" w:ascii="仿宋_GB2312" w:hAnsi="仿宋_GB2312" w:eastAsia="仿宋_GB2312" w:cs="仿宋_GB2312"/>
          <w:b/>
          <w:color w:val="000000"/>
          <w:sz w:val="32"/>
          <w:szCs w:val="32"/>
        </w:rPr>
        <w:t>万元，</w:t>
      </w:r>
      <w:r>
        <w:rPr>
          <w:rFonts w:hint="eastAsia" w:ascii="仿宋_GB2312" w:hAnsi="仿宋_GB2312" w:eastAsia="仿宋_GB2312" w:cs="仿宋_GB2312"/>
          <w:color w:val="000000"/>
          <w:sz w:val="32"/>
          <w:szCs w:val="32"/>
        </w:rPr>
        <w:t>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三、部门整体预算绩效管理情况</w:t>
      </w:r>
    </w:p>
    <w:p>
      <w:pPr>
        <w:widowControl/>
        <w:adjustRightInd w:val="0"/>
        <w:snapToGrid w:val="0"/>
        <w:spacing w:line="576" w:lineRule="exact"/>
        <w:ind w:firstLine="720"/>
        <w:jc w:val="left"/>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sz w:val="32"/>
          <w:szCs w:val="32"/>
        </w:rPr>
        <w:t>（一）部门预算管理。</w:t>
      </w:r>
    </w:p>
    <w:p>
      <w:pPr>
        <w:adjustRightInd w:val="0"/>
        <w:snapToGrid w:val="0"/>
        <w:spacing w:line="576" w:lineRule="exact"/>
        <w:ind w:firstLine="1040" w:firstLineChars="325"/>
        <w:rPr>
          <w:rFonts w:hint="eastAsia" w:ascii="仿宋_GB2312" w:hAnsi="仿宋_GB2312" w:eastAsia="仿宋_GB2312" w:cs="仿宋_GB2312"/>
          <w:sz w:val="32"/>
          <w:szCs w:val="32"/>
        </w:rPr>
      </w:pPr>
      <w:r>
        <w:rPr>
          <w:rFonts w:hint="eastAsia" w:ascii="仿宋_GB2312" w:hAnsi="仿宋_GB2312" w:eastAsia="仿宋_GB2312" w:cs="仿宋_GB2312"/>
          <w:bCs/>
          <w:color w:val="444444"/>
          <w:sz w:val="32"/>
          <w:szCs w:val="32"/>
        </w:rPr>
        <w:t>按照县财政局部门预算要求，按时完成部门年初预算编制工作。在编制过程中，认真核实单位实际财政供养人数和单位实有编制情况，正确编制人员经费和公用经费等，做到尽量细化项目资金支出预算范围和科目，及时上报相关股室进行审核，对所编制的预算予以调整通过。</w:t>
      </w:r>
    </w:p>
    <w:p>
      <w:pPr>
        <w:spacing w:line="58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（二）专项预算管理。</w:t>
      </w:r>
    </w:p>
    <w:p>
      <w:pPr>
        <w:pStyle w:val="12"/>
        <w:widowControl/>
        <w:shd w:val="clear" w:color="auto" w:fill="FFFFFF"/>
        <w:spacing w:before="0" w:beforeAutospacing="0" w:after="0" w:afterAutospacing="0" w:line="576" w:lineRule="exact"/>
        <w:ind w:firstLine="495"/>
        <w:textAlignment w:val="center"/>
        <w:rPr>
          <w:rFonts w:hint="eastAsia" w:ascii="仿宋_GB2312" w:hAnsi="仿宋_GB2312" w:eastAsia="仿宋_GB2312" w:cs="仿宋_GB2312"/>
          <w:sz w:val="32"/>
          <w:szCs w:val="32"/>
        </w:rPr>
      </w:pPr>
      <w:r>
        <w:rPr>
          <w:rFonts w:hint="eastAsia" w:ascii="仿宋_GB2312" w:hAnsi="仿宋_GB2312" w:eastAsia="仿宋_GB2312" w:cs="仿宋_GB2312"/>
          <w:bCs/>
          <w:color w:val="444444"/>
          <w:kern w:val="2"/>
          <w:sz w:val="32"/>
          <w:szCs w:val="32"/>
        </w:rPr>
        <w:t>严格按照机关《</w:t>
      </w:r>
      <w:r>
        <w:rPr>
          <w:rFonts w:hint="eastAsia" w:ascii="仿宋_GB2312" w:hAnsi="仿宋_GB2312" w:eastAsia="仿宋_GB2312" w:cs="仿宋_GB2312"/>
          <w:bCs/>
          <w:color w:val="444444"/>
          <w:kern w:val="2"/>
          <w:sz w:val="32"/>
          <w:szCs w:val="32"/>
          <w:lang w:eastAsia="zh-CN"/>
        </w:rPr>
        <w:t>专项预算管理</w:t>
      </w:r>
      <w:r>
        <w:rPr>
          <w:rFonts w:hint="eastAsia" w:ascii="仿宋_GB2312" w:hAnsi="仿宋_GB2312" w:eastAsia="仿宋_GB2312" w:cs="仿宋_GB2312"/>
          <w:bCs/>
          <w:color w:val="444444"/>
          <w:kern w:val="2"/>
          <w:sz w:val="32"/>
          <w:szCs w:val="32"/>
        </w:rPr>
        <w:t>制度》执行财务</w:t>
      </w:r>
      <w:r>
        <w:rPr>
          <w:rFonts w:hint="eastAsia" w:ascii="仿宋_GB2312" w:hAnsi="仿宋_GB2312" w:eastAsia="仿宋_GB2312" w:cs="仿宋_GB2312"/>
          <w:bCs/>
          <w:color w:val="444444"/>
          <w:kern w:val="2"/>
          <w:sz w:val="32"/>
          <w:szCs w:val="32"/>
          <w:lang w:eastAsia="zh-CN"/>
        </w:rPr>
        <w:t>预算</w:t>
      </w:r>
      <w:r>
        <w:rPr>
          <w:rFonts w:hint="eastAsia" w:ascii="仿宋_GB2312" w:hAnsi="仿宋_GB2312" w:eastAsia="仿宋_GB2312" w:cs="仿宋_GB2312"/>
          <w:bCs/>
          <w:color w:val="444444"/>
          <w:kern w:val="2"/>
          <w:sz w:val="32"/>
          <w:szCs w:val="32"/>
        </w:rPr>
        <w:t>收支管理，认真执行县财政国库集中支付核算制度，严格依法依规依程序进行</w:t>
      </w:r>
      <w:r>
        <w:rPr>
          <w:rFonts w:hint="eastAsia" w:ascii="仿宋_GB2312" w:hAnsi="仿宋_GB2312" w:eastAsia="仿宋_GB2312" w:cs="仿宋_GB2312"/>
          <w:bCs/>
          <w:color w:val="444444"/>
          <w:kern w:val="2"/>
          <w:sz w:val="32"/>
          <w:szCs w:val="32"/>
          <w:lang w:eastAsia="zh-CN"/>
        </w:rPr>
        <w:t>专项预算、</w:t>
      </w:r>
      <w:r>
        <w:rPr>
          <w:rFonts w:hint="eastAsia" w:ascii="仿宋_GB2312" w:hAnsi="仿宋_GB2312" w:eastAsia="仿宋_GB2312" w:cs="仿宋_GB2312"/>
          <w:bCs/>
          <w:color w:val="444444"/>
          <w:kern w:val="2"/>
          <w:sz w:val="32"/>
          <w:szCs w:val="32"/>
        </w:rPr>
        <w:t>政府采购等财务活动。</w:t>
      </w:r>
    </w:p>
    <w:p>
      <w:pPr>
        <w:spacing w:line="58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（三）结果应用情况。</w:t>
      </w:r>
    </w:p>
    <w:p>
      <w:pPr>
        <w:adjustRightInd w:val="0"/>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color w:val="444444"/>
          <w:sz w:val="32"/>
          <w:szCs w:val="32"/>
          <w:lang w:eastAsia="zh-CN"/>
        </w:rPr>
        <w:t>在</w:t>
      </w:r>
      <w:r>
        <w:rPr>
          <w:rFonts w:hint="eastAsia" w:ascii="仿宋_GB2312" w:hAnsi="仿宋_GB2312" w:eastAsia="仿宋_GB2312" w:cs="仿宋_GB2312"/>
          <w:bCs/>
          <w:color w:val="444444"/>
          <w:sz w:val="32"/>
          <w:szCs w:val="32"/>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等部门的监督检查，</w:t>
      </w:r>
      <w:r>
        <w:rPr>
          <w:rFonts w:hint="eastAsia" w:ascii="仿宋_GB2312" w:hAnsi="仿宋_GB2312" w:eastAsia="仿宋_GB2312" w:cs="仿宋_GB2312"/>
          <w:bCs/>
          <w:color w:val="444444"/>
          <w:sz w:val="32"/>
          <w:szCs w:val="32"/>
          <w:lang w:eastAsia="zh-CN"/>
        </w:rPr>
        <w:t>不</w:t>
      </w:r>
      <w:r>
        <w:rPr>
          <w:rFonts w:hint="eastAsia" w:ascii="仿宋_GB2312" w:hAnsi="仿宋_GB2312" w:eastAsia="仿宋_GB2312" w:cs="仿宋_GB2312"/>
          <w:bCs/>
          <w:color w:val="444444"/>
          <w:sz w:val="32"/>
          <w:szCs w:val="32"/>
        </w:rPr>
        <w:t>存在违规进行资产购置，擅自处置财产、对外投资，财政票据管理、使用不规范等问题，较好地坚持财务“一支笔”的审批制度和复核制度，按照规定保管会计档案，并建立完善的内部控制制度和监督制度</w:t>
      </w:r>
      <w:r>
        <w:rPr>
          <w:rFonts w:hint="eastAsia" w:ascii="仿宋_GB2312" w:hAnsi="仿宋_GB2312" w:eastAsia="仿宋_GB2312" w:cs="仿宋_GB2312"/>
          <w:sz w:val="32"/>
          <w:szCs w:val="32"/>
          <w:lang w:val="zh-CN"/>
        </w:rPr>
        <w:t>。</w:t>
      </w:r>
    </w:p>
    <w:p>
      <w:pPr>
        <w:spacing w:line="58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四、评价结论及建议</w:t>
      </w:r>
    </w:p>
    <w:p>
      <w:pPr>
        <w:spacing w:line="58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（一）评价结论。</w:t>
      </w:r>
    </w:p>
    <w:p>
      <w:pPr>
        <w:adjustRightInd w:val="0"/>
        <w:snapToGrid w:val="0"/>
        <w:spacing w:line="576"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Cs/>
          <w:color w:val="444444"/>
          <w:sz w:val="32"/>
          <w:szCs w:val="32"/>
          <w:lang w:val="zh-CN"/>
        </w:rPr>
        <w:t>我委局部门支出预算，保障了机关日常正常运转，全面有力</w:t>
      </w:r>
      <w:r>
        <w:rPr>
          <w:rFonts w:hint="eastAsia" w:ascii="仿宋_GB2312" w:hAnsi="仿宋_GB2312" w:eastAsia="仿宋_GB2312" w:cs="仿宋_GB2312"/>
          <w:sz w:val="32"/>
          <w:szCs w:val="32"/>
        </w:rPr>
        <w:t>协助县委推动从严治党，加强党风建设和组织协调反腐败工作。增强</w:t>
      </w:r>
      <w:r>
        <w:rPr>
          <w:rFonts w:hint="eastAsia" w:ascii="仿宋_GB2312" w:hAnsi="仿宋_GB2312" w:eastAsia="仿宋_GB2312" w:cs="仿宋_GB2312"/>
          <w:bCs/>
          <w:color w:val="444444"/>
          <w:sz w:val="32"/>
          <w:szCs w:val="32"/>
          <w:lang w:val="zh-CN"/>
        </w:rPr>
        <w:t>群众满意度，有力促进了社会和谐发展，部门整体支出绩效自评得良好</w:t>
      </w:r>
    </w:p>
    <w:p>
      <w:pPr>
        <w:spacing w:line="58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（二）存在问题。</w:t>
      </w:r>
    </w:p>
    <w:p>
      <w:pPr>
        <w:widowControl/>
        <w:adjustRightInd w:val="0"/>
        <w:snapToGrid w:val="0"/>
        <w:spacing w:line="576" w:lineRule="exact"/>
        <w:ind w:firstLine="72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一是</w:t>
      </w:r>
      <w:r>
        <w:rPr>
          <w:rFonts w:hint="eastAsia" w:ascii="仿宋_GB2312" w:hAnsi="仿宋_GB2312" w:eastAsia="仿宋_GB2312" w:cs="仿宋_GB2312"/>
          <w:color w:val="333333"/>
          <w:sz w:val="32"/>
          <w:szCs w:val="32"/>
          <w:shd w:val="clear" w:color="auto" w:fill="FFFFFF"/>
        </w:rPr>
        <w:t>基础工作尚需完善，</w:t>
      </w:r>
      <w:r>
        <w:rPr>
          <w:rFonts w:hint="eastAsia" w:ascii="仿宋_GB2312" w:hAnsi="仿宋_GB2312" w:eastAsia="仿宋_GB2312" w:cs="仿宋_GB2312"/>
          <w:color w:val="000000"/>
          <w:sz w:val="32"/>
          <w:szCs w:val="32"/>
        </w:rPr>
        <w:t>二是</w:t>
      </w:r>
      <w:r>
        <w:rPr>
          <w:rFonts w:hint="eastAsia" w:ascii="仿宋_GB2312" w:hAnsi="仿宋_GB2312" w:eastAsia="仿宋_GB2312" w:cs="仿宋_GB2312"/>
          <w:color w:val="333333"/>
          <w:sz w:val="32"/>
          <w:szCs w:val="32"/>
          <w:shd w:val="clear" w:color="auto" w:fill="FFFFFF"/>
        </w:rPr>
        <w:t>绩效目标管理应更科学，</w:t>
      </w:r>
      <w:r>
        <w:rPr>
          <w:rFonts w:hint="eastAsia" w:ascii="仿宋_GB2312" w:hAnsi="仿宋_GB2312" w:eastAsia="仿宋_GB2312" w:cs="仿宋_GB2312"/>
          <w:color w:val="000000"/>
          <w:sz w:val="32"/>
          <w:szCs w:val="32"/>
        </w:rPr>
        <w:t>三是</w:t>
      </w:r>
      <w:r>
        <w:rPr>
          <w:rFonts w:hint="eastAsia" w:ascii="仿宋_GB2312" w:hAnsi="仿宋_GB2312" w:eastAsia="仿宋_GB2312" w:cs="仿宋_GB2312"/>
          <w:color w:val="333333"/>
          <w:sz w:val="32"/>
          <w:szCs w:val="32"/>
          <w:shd w:val="clear" w:color="auto" w:fill="FFFFFF"/>
        </w:rPr>
        <w:t>绩效评价质量有待提高，四是评价结果应用不完全等问题</w:t>
      </w:r>
      <w:r>
        <w:rPr>
          <w:rFonts w:hint="eastAsia" w:ascii="仿宋_GB2312" w:hAnsi="仿宋_GB2312" w:eastAsia="仿宋_GB2312" w:cs="仿宋_GB2312"/>
          <w:color w:val="000000"/>
          <w:sz w:val="32"/>
          <w:szCs w:val="32"/>
        </w:rPr>
        <w:t>。</w:t>
      </w:r>
    </w:p>
    <w:p>
      <w:pPr>
        <w:spacing w:line="58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（三）改进建议。</w:t>
      </w:r>
    </w:p>
    <w:p>
      <w:pPr>
        <w:widowControl/>
        <w:adjustRightInd w:val="0"/>
        <w:snapToGrid w:val="0"/>
        <w:spacing w:line="576" w:lineRule="exact"/>
        <w:ind w:firstLine="720"/>
        <w:jc w:val="left"/>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rPr>
        <w:t>一是</w:t>
      </w:r>
      <w:r>
        <w:rPr>
          <w:rFonts w:hint="eastAsia" w:ascii="仿宋_GB2312" w:hAnsi="仿宋_GB2312" w:eastAsia="仿宋_GB2312" w:cs="仿宋_GB2312"/>
          <w:color w:val="000000"/>
          <w:sz w:val="32"/>
          <w:szCs w:val="32"/>
          <w:shd w:val="clear" w:color="auto" w:fill="FFFFFF"/>
        </w:rPr>
        <w:t>加强财政预算和决算的吻和度，按业务需要合理规划</w:t>
      </w:r>
      <w:r>
        <w:rPr>
          <w:rFonts w:hint="eastAsia" w:ascii="仿宋_GB2312" w:hAnsi="仿宋_GB2312" w:eastAsia="仿宋_GB2312" w:cs="仿宋_GB2312"/>
          <w:color w:val="000000"/>
          <w:sz w:val="32"/>
          <w:szCs w:val="32"/>
        </w:rPr>
        <w:t>，二是</w:t>
      </w:r>
      <w:r>
        <w:rPr>
          <w:rFonts w:hint="eastAsia" w:ascii="仿宋_GB2312" w:hAnsi="仿宋_GB2312" w:eastAsia="仿宋_GB2312" w:cs="仿宋_GB2312"/>
          <w:color w:val="000000"/>
          <w:sz w:val="32"/>
          <w:szCs w:val="32"/>
          <w:shd w:val="clear" w:color="auto" w:fill="FFFFFF"/>
        </w:rPr>
        <w:t>加强与财政部门的沟通,提高资金的使用效率。</w:t>
      </w:r>
    </w:p>
    <w:p>
      <w:pPr>
        <w:widowControl/>
        <w:adjustRightInd w:val="0"/>
        <w:snapToGrid w:val="0"/>
        <w:spacing w:line="576" w:lineRule="exact"/>
        <w:ind w:firstLine="720"/>
        <w:jc w:val="left"/>
        <w:rPr>
          <w:rFonts w:hint="eastAsia" w:ascii="仿宋_GB2312" w:hAnsi="仿宋_GB2312" w:eastAsia="仿宋_GB2312" w:cs="仿宋_GB2312"/>
          <w:color w:val="000000"/>
          <w:sz w:val="32"/>
          <w:szCs w:val="32"/>
          <w:shd w:val="clear" w:color="auto" w:fill="FFFFFF"/>
        </w:rPr>
      </w:pPr>
    </w:p>
    <w:p>
      <w:pPr>
        <w:spacing w:line="580" w:lineRule="exact"/>
        <w:ind w:firstLine="640" w:firstLineChars="200"/>
        <w:rPr>
          <w:rFonts w:hint="eastAsia" w:ascii="仿宋_GB2312" w:hAnsi="仿宋_GB2312" w:eastAsia="仿宋_GB2312" w:cs="仿宋_GB2312"/>
          <w:sz w:val="32"/>
          <w:szCs w:val="32"/>
        </w:rPr>
      </w:pPr>
    </w:p>
    <w:bookmarkEnd w:id="57"/>
    <w:bookmarkEnd w:id="58"/>
    <w:p>
      <w:pPr>
        <w:widowControl/>
        <w:jc w:val="left"/>
        <w:rPr>
          <w:rFonts w:ascii="仿宋" w:hAnsi="仿宋" w:eastAsia="仿宋" w:cs="仿宋_GB2312"/>
          <w:sz w:val="32"/>
          <w:szCs w:val="32"/>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华文中宋">
    <w:altName w:val="Monlam Uni Sans Serif"/>
    <w:panose1 w:val="02010600040101010101"/>
    <w:charset w:val="86"/>
    <w:family w:val="auto"/>
    <w:pitch w:val="default"/>
    <w:sig w:usb0="00000000" w:usb1="00000000" w:usb2="00000010" w:usb3="00000000" w:csb0="0004009F"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1A0F3C52" w:usb2="00000010" w:usb3="00000000" w:csb0="0004001F" w:csb1="00000000"/>
  </w:font>
  <w:font w:name="Tahoma">
    <w:panose1 w:val="020B0604030504040204"/>
    <w:charset w:val="00"/>
    <w:family w:val="auto"/>
    <w:pitch w:val="default"/>
    <w:sig w:usb0="61007A87" w:usb1="80000000" w:usb2="00000008" w:usb3="00000000" w:csb0="200101FF" w:csb1="20280000"/>
  </w:font>
  <w:font w:name="仿宋">
    <w:altName w:val="微软雅黑"/>
    <w:panose1 w:val="00000000000000000000"/>
    <w:charset w:val="00"/>
    <w:family w:val="auto"/>
    <w:pitch w:val="default"/>
    <w:sig w:usb0="00000000" w:usb1="00000000" w:usb2="00000000" w:usb3="00000000" w:csb0="00000000" w:csb1="00000000"/>
  </w:font>
  <w:font w:name="Monlam Uni Sans Serif">
    <w:panose1 w:val="01010100010101010101"/>
    <w:charset w:val="86"/>
    <w:family w:val="auto"/>
    <w:pitch w:val="default"/>
    <w:sig w:usb0="80000083" w:usb1="0001204A" w:usb2="00000040" w:usb3="00000000" w:csb0="FFFFFFFF" w:csb1="FFFFFFF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21</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A22C0C7"/>
    <w:multiLevelType w:val="singleLevel"/>
    <w:tmpl w:val="AA22C0C7"/>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6">
    <w:nsid w:val="267AA395"/>
    <w:multiLevelType w:val="singleLevel"/>
    <w:tmpl w:val="267AA395"/>
    <w:lvl w:ilvl="0" w:tentative="0">
      <w:start w:val="2"/>
      <w:numFmt w:val="chineseCounting"/>
      <w:suff w:val="nothing"/>
      <w:lvlText w:val="%1、"/>
      <w:lvlJc w:val="left"/>
      <w:rPr>
        <w:rFonts w:hint="eastAsia"/>
      </w:rPr>
    </w:lvl>
  </w:abstractNum>
  <w:num w:numId="1">
    <w:abstractNumId w:val="6"/>
  </w:num>
  <w:num w:numId="2">
    <w:abstractNumId w:val="4"/>
  </w:num>
  <w:num w:numId="3">
    <w:abstractNumId w:val="0"/>
  </w:num>
  <w:num w:numId="4">
    <w:abstractNumId w:val="1"/>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3F95"/>
    <w:rsid w:val="0014729F"/>
    <w:rsid w:val="001526C8"/>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2AF7"/>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2A46"/>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10C055FF"/>
    <w:rsid w:val="16BB723D"/>
    <w:rsid w:val="240371BF"/>
    <w:rsid w:val="27AA137D"/>
    <w:rsid w:val="29FD04D3"/>
    <w:rsid w:val="319F7F4E"/>
    <w:rsid w:val="3D5B1C9D"/>
    <w:rsid w:val="434E20D0"/>
    <w:rsid w:val="49E054C6"/>
    <w:rsid w:val="58046872"/>
    <w:rsid w:val="7D3B719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uiPriority w:val="99"/>
    <w:rPr>
      <w:rFonts w:ascii="Times New Roman" w:hAnsi="Times New Roman"/>
      <w:sz w:val="18"/>
      <w:szCs w:val="18"/>
    </w:rPr>
  </w:style>
  <w:style w:type="character" w:customStyle="1" w:styleId="18">
    <w:name w:val="页眉 Char"/>
    <w:link w:val="9"/>
    <w:semiHidden/>
    <w:locked/>
    <w:uiPriority w:val="99"/>
    <w:rPr>
      <w:sz w:val="18"/>
    </w:rPr>
  </w:style>
  <w:style w:type="character" w:customStyle="1" w:styleId="19">
    <w:name w:val="Footer Char"/>
    <w:basedOn w:val="14"/>
    <w:semiHidden/>
    <w:uiPriority w:val="99"/>
    <w:rPr>
      <w:rFonts w:ascii="Times New Roman" w:hAnsi="Times New Roman"/>
      <w:sz w:val="18"/>
      <w:szCs w:val="18"/>
    </w:rPr>
  </w:style>
  <w:style w:type="character" w:customStyle="1" w:styleId="20">
    <w:name w:val="页脚 Char"/>
    <w:link w:val="8"/>
    <w:locked/>
    <w:uiPriority w:val="99"/>
    <w:rPr>
      <w:sz w:val="18"/>
    </w:rPr>
  </w:style>
  <w:style w:type="character" w:customStyle="1" w:styleId="21">
    <w:name w:val="Body Text Char"/>
    <w:basedOn w:val="14"/>
    <w:semiHidden/>
    <w:uiPriority w:val="99"/>
    <w:rPr>
      <w:rFonts w:ascii="Times New Roman" w:hAnsi="Times New Roman"/>
      <w:szCs w:val="24"/>
    </w:rPr>
  </w:style>
  <w:style w:type="character" w:customStyle="1" w:styleId="22">
    <w:name w:val="正文文本 Char"/>
    <w:link w:val="5"/>
    <w:locked/>
    <w:uiPriority w:val="99"/>
    <w:rPr>
      <w:rFonts w:ascii="仿宋_GB2312" w:hAnsi="Times New Roman" w:eastAsia="仿宋_GB2312"/>
      <w:sz w:val="24"/>
    </w:rPr>
  </w:style>
  <w:style w:type="paragraph" w:customStyle="1" w:styleId="23">
    <w:name w:val="Defaul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2"/>
    <w:qFormat/>
    <w:uiPriority w:val="9"/>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93924209207642"/>
          <c:y val="0.0461991638721877"/>
        </c:manualLayout>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收支决算总计</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761.59</a:t>
                    </a:r>
                    <a:r>
                      <a:rPr lang="zh-CN"/>
                      <a:t>万元</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2019年收入</c:v>
                </c:pt>
                <c:pt idx="1">
                  <c:v>2018年收入</c:v>
                </c:pt>
                <c:pt idx="2">
                  <c:v>2019年支出</c:v>
                </c:pt>
                <c:pt idx="3">
                  <c:v>2018年支出</c:v>
                </c:pt>
              </c:strCache>
            </c:strRef>
          </c:cat>
          <c:val>
            <c:numRef>
              <c:f>Sheet1!$B$2:$B$5</c:f>
              <c:numCache>
                <c:formatCode>General</c:formatCode>
                <c:ptCount val="4"/>
                <c:pt idx="0">
                  <c:v>761.59</c:v>
                </c:pt>
                <c:pt idx="1">
                  <c:v>634.34</c:v>
                </c:pt>
                <c:pt idx="2">
                  <c:v>808.55</c:v>
                </c:pt>
                <c:pt idx="3">
                  <c:v>634.34</c:v>
                </c:pt>
              </c:numCache>
            </c:numRef>
          </c:val>
        </c:ser>
        <c:dLbls>
          <c:showLegendKey val="0"/>
          <c:showVal val="1"/>
          <c:showCatName val="0"/>
          <c:showSerName val="0"/>
          <c:showPercent val="0"/>
          <c:showBubbleSize val="0"/>
        </c:dLbls>
        <c:gapWidth val="100"/>
        <c:axId val="62030592"/>
        <c:axId val="67162496"/>
      </c:barChart>
      <c:catAx>
        <c:axId val="6203059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7162496"/>
        <c:crosses val="autoZero"/>
        <c:auto val="1"/>
        <c:lblAlgn val="ctr"/>
        <c:lblOffset val="100"/>
        <c:noMultiLvlLbl val="0"/>
      </c:catAx>
      <c:valAx>
        <c:axId val="6716249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2030592"/>
        <c:crosses val="autoZero"/>
        <c:crossBetween val="between"/>
      </c:valAx>
    </c:plotArea>
    <c:legend>
      <c:legendPos val="t"/>
      <c:layout>
        <c:manualLayout>
          <c:xMode val="edge"/>
          <c:yMode val="edge"/>
          <c:x val="0.268295933017066"/>
          <c:y val="0.207353592481805"/>
          <c:w val="0.462384669978708"/>
          <c:h val="0.145328719723183"/>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t>201</a:t>
            </a:r>
            <a:r>
              <a:rPr lang="en-US" altLang="zh-CN"/>
              <a:t>9</a:t>
            </a:r>
            <a:r>
              <a:t>年收入</a:t>
            </a:r>
          </a:p>
        </c:rich>
      </c:tx>
      <c:layout>
        <c:manualLayout>
          <c:xMode val="edge"/>
          <c:yMode val="edge"/>
          <c:x val="0.29869073839371"/>
          <c:y val="0.055476241599159"/>
        </c:manualLayout>
      </c:layout>
      <c:overlay val="0"/>
    </c:title>
    <c:autoTitleDeleted val="0"/>
    <c:plotArea>
      <c:layout/>
      <c:pieChart>
        <c:varyColors val="1"/>
        <c:ser>
          <c:idx val="0"/>
          <c:order val="0"/>
          <c:tx>
            <c:strRef>
              <c:f>Sheet1!$B$1</c:f>
              <c:strCache>
                <c:ptCount val="1"/>
                <c:pt idx="0">
                  <c:v>2019年收入</c:v>
                </c:pt>
              </c:strCache>
            </c:strRef>
          </c:tx>
          <c:explosion val="0"/>
          <c:dPt>
            <c:idx val="0"/>
            <c:bubble3D val="0"/>
          </c:dPt>
          <c:dPt>
            <c:idx val="1"/>
            <c:bubble3D val="0"/>
          </c:dPt>
          <c:dPt>
            <c:idx val="2"/>
            <c:bubble3D val="0"/>
          </c:dPt>
          <c:dPt>
            <c:idx val="3"/>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一般公共预算财政拨款</c:v>
                </c:pt>
                <c:pt idx="1">
                  <c:v>财政应返还额度</c:v>
                </c:pt>
              </c:strCache>
            </c:strRef>
          </c:cat>
          <c:val>
            <c:numRef>
              <c:f>Sheet1!$B$2:$B$5</c:f>
              <c:numCache>
                <c:formatCode>General</c:formatCode>
                <c:ptCount val="4"/>
                <c:pt idx="0">
                  <c:v>761.59</c:v>
                </c:pt>
                <c:pt idx="1">
                  <c:v>46.96</c:v>
                </c:pt>
              </c:numCache>
            </c:numRef>
          </c:val>
        </c:ser>
        <c:dLbls>
          <c:showLegendKey val="0"/>
          <c:showVal val="0"/>
          <c:showCatName val="0"/>
          <c:showSerName val="0"/>
          <c:showPercent val="1"/>
          <c:showBubbleSize val="0"/>
          <c:showLeaderLines val="1"/>
        </c:dLbls>
        <c:firstSliceAng val="15"/>
      </c:pieChart>
      <c:spPr>
        <a:noFill/>
        <a:ln>
          <a:noFill/>
        </a:ln>
        <a:effectLst/>
      </c:spPr>
    </c:plotArea>
    <c:legend>
      <c:legendPos val="t"/>
      <c:layout>
        <c:manualLayout>
          <c:xMode val="edge"/>
          <c:yMode val="edge"/>
          <c:x val="0.108091682583782"/>
          <c:y val="0.228028503562945"/>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1377245508982"/>
          <c:y val="0.186287263794644"/>
        </c:manualLayout>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2019年支出</c:v>
                </c:pt>
              </c:strCache>
            </c:strRef>
          </c:tx>
          <c:explosion val="0"/>
          <c:dPt>
            <c:idx val="0"/>
            <c:bubble3D val="0"/>
          </c:dPt>
          <c:dPt>
            <c:idx val="1"/>
            <c:bubble3D val="0"/>
          </c:dPt>
          <c:dPt>
            <c:idx val="2"/>
            <c:bubble3D val="0"/>
          </c:dPt>
          <c:dPt>
            <c:idx val="3"/>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基本支出</c:v>
                </c:pt>
              </c:strCache>
            </c:strRef>
          </c:cat>
          <c:val>
            <c:numRef>
              <c:f>Sheet1!$B$2:$B$5</c:f>
              <c:numCache>
                <c:formatCode>General</c:formatCode>
                <c:ptCount val="4"/>
                <c:pt idx="0">
                  <c:v>808.55</c:v>
                </c:pt>
              </c:numCache>
            </c:numRef>
          </c:val>
        </c:ser>
        <c:dLbls>
          <c:showLegendKey val="0"/>
          <c:showVal val="0"/>
          <c:showCatName val="0"/>
          <c:showSerName val="0"/>
          <c:showPercent val="1"/>
          <c:showBubbleSize val="0"/>
          <c:showLeaderLines val="1"/>
        </c:dLbls>
        <c:firstSliceAng val="15"/>
      </c:pieChart>
      <c:spPr>
        <a:noFill/>
        <a:ln>
          <a:noFill/>
        </a:ln>
        <a:effectLst/>
      </c:spPr>
    </c:plotArea>
    <c:legend>
      <c:legendPos val="t"/>
      <c:layout>
        <c:manualLayout>
          <c:xMode val="edge"/>
          <c:yMode val="edge"/>
          <c:x val="0.210974127452683"/>
          <c:y val="0.863929419748897"/>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0882623117251145"/>
          <c:y val="0.00902255639097744"/>
        </c:manualLayout>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 财政拨款收支决算总计</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808.55</a:t>
                    </a:r>
                    <a:r>
                      <a:rPr lang="zh-CN"/>
                      <a:t>万元</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2019年收支</c:v>
                </c:pt>
                <c:pt idx="1">
                  <c:v>2018年收支</c:v>
                </c:pt>
              </c:strCache>
            </c:strRef>
          </c:cat>
          <c:val>
            <c:numRef>
              <c:f>Sheet1!$B$2:$B$5</c:f>
              <c:numCache>
                <c:formatCode>General</c:formatCode>
                <c:ptCount val="4"/>
                <c:pt idx="0">
                  <c:v>808.55</c:v>
                </c:pt>
                <c:pt idx="1">
                  <c:v>567.85</c:v>
                </c:pt>
              </c:numCache>
            </c:numRef>
          </c:val>
        </c:ser>
        <c:dLbls>
          <c:showLegendKey val="0"/>
          <c:showVal val="1"/>
          <c:showCatName val="0"/>
          <c:showSerName val="0"/>
          <c:showPercent val="0"/>
          <c:showBubbleSize val="0"/>
        </c:dLbls>
        <c:gapWidth val="100"/>
        <c:axId val="62030592"/>
        <c:axId val="67162496"/>
      </c:barChart>
      <c:catAx>
        <c:axId val="6203059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7162496"/>
        <c:crosses val="autoZero"/>
        <c:auto val="1"/>
        <c:lblAlgn val="ctr"/>
        <c:lblOffset val="100"/>
        <c:noMultiLvlLbl val="0"/>
      </c:catAx>
      <c:valAx>
        <c:axId val="6716249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2030592"/>
        <c:crosses val="autoZero"/>
        <c:crossBetween val="between"/>
      </c:valAx>
    </c:plotArea>
    <c:legend>
      <c:legendPos val="t"/>
      <c:layout>
        <c:manualLayout>
          <c:xMode val="edge"/>
          <c:yMode val="edge"/>
          <c:x val="0.324117299985739"/>
          <c:y val="0.211615890938419"/>
          <c:w val="0.462384669978708"/>
          <c:h val="0.145328719723183"/>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43241767800247"/>
          <c:y val="0.0392383837291069"/>
        </c:manualLayout>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808.55</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2019年支出</c:v>
                </c:pt>
                <c:pt idx="1">
                  <c:v>2018年支出</c:v>
                </c:pt>
              </c:strCache>
            </c:strRef>
          </c:cat>
          <c:val>
            <c:numRef>
              <c:f>Sheet1!$B$2:$B$5</c:f>
              <c:numCache>
                <c:formatCode>General</c:formatCode>
                <c:ptCount val="4"/>
                <c:pt idx="0">
                  <c:v>808.55</c:v>
                </c:pt>
                <c:pt idx="1">
                  <c:v>634.34</c:v>
                </c:pt>
              </c:numCache>
            </c:numRef>
          </c:val>
        </c:ser>
        <c:dLbls>
          <c:showLegendKey val="0"/>
          <c:showVal val="1"/>
          <c:showCatName val="0"/>
          <c:showSerName val="0"/>
          <c:showPercent val="0"/>
          <c:showBubbleSize val="0"/>
        </c:dLbls>
        <c:gapWidth val="100"/>
        <c:axId val="62030592"/>
        <c:axId val="67162496"/>
      </c:barChart>
      <c:catAx>
        <c:axId val="6203059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7162496"/>
        <c:crosses val="autoZero"/>
        <c:auto val="1"/>
        <c:lblAlgn val="ctr"/>
        <c:lblOffset val="100"/>
        <c:noMultiLvlLbl val="0"/>
      </c:catAx>
      <c:valAx>
        <c:axId val="6716249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2030592"/>
        <c:crosses val="autoZero"/>
        <c:crossBetween val="between"/>
      </c:valAx>
    </c:plotArea>
    <c:legend>
      <c:legendPos val="t"/>
      <c:layout>
        <c:manualLayout>
          <c:xMode val="edge"/>
          <c:yMode val="edge"/>
          <c:x val="0.304674432787716"/>
          <c:y val="0.171336072073074"/>
          <c:w val="0.462384669978708"/>
          <c:h val="0.145328719723183"/>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2019年支出</c:v>
                </c:pt>
              </c:strCache>
            </c:strRef>
          </c:tx>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一般公共服务支出</c:v>
                </c:pt>
                <c:pt idx="1">
                  <c:v>社会保障和就业支出</c:v>
                </c:pt>
                <c:pt idx="2">
                  <c:v>医疗卫生支出</c:v>
                </c:pt>
                <c:pt idx="3">
                  <c:v>住房保障支出</c:v>
                </c:pt>
                <c:pt idx="4">
                  <c:v>其他支出</c:v>
                </c:pt>
              </c:strCache>
            </c:strRef>
          </c:cat>
          <c:val>
            <c:numRef>
              <c:f>Sheet1!$B$2:$B$6</c:f>
              <c:numCache>
                <c:formatCode>General</c:formatCode>
                <c:ptCount val="5"/>
                <c:pt idx="0">
                  <c:v>545.86</c:v>
                </c:pt>
                <c:pt idx="1">
                  <c:v>78.77</c:v>
                </c:pt>
                <c:pt idx="2">
                  <c:v>28.91</c:v>
                </c:pt>
                <c:pt idx="3">
                  <c:v>49.65</c:v>
                </c:pt>
                <c:pt idx="4">
                  <c:v>105.37</c:v>
                </c:pt>
              </c:numCache>
            </c:numRef>
          </c:val>
        </c:ser>
        <c:dLbls>
          <c:showLegendKey val="0"/>
          <c:showVal val="0"/>
          <c:showCatName val="0"/>
          <c:showSerName val="0"/>
          <c:showPercent val="1"/>
          <c:showBubbleSize val="0"/>
          <c:showLeaderLines val="1"/>
        </c:dLbls>
        <c:firstSliceAng val="15"/>
      </c:pieChart>
      <c:spPr>
        <a:noFill/>
        <a:ln>
          <a:noFill/>
        </a:ln>
        <a:effectLst/>
      </c:spPr>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49429177431425"/>
          <c:y val="0.0904223952271757"/>
        </c:manualLayout>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“三公”经费支出</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因公出国（境）</c:v>
                </c:pt>
                <c:pt idx="1">
                  <c:v>公务用车费</c:v>
                </c:pt>
                <c:pt idx="2">
                  <c:v>公务接待费</c:v>
                </c:pt>
              </c:strCache>
            </c:strRef>
          </c:cat>
          <c:val>
            <c:numRef>
              <c:f>Sheet1!$B$2:$B$4</c:f>
              <c:numCache>
                <c:formatCode>General</c:formatCode>
                <c:ptCount val="3"/>
                <c:pt idx="0">
                  <c:v>0</c:v>
                </c:pt>
                <c:pt idx="1">
                  <c:v>26.93</c:v>
                </c:pt>
                <c:pt idx="2">
                  <c:v>0.19</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noFill/>
    <a:ln w="9525" cap="flat" cmpd="sng" algn="ctr">
      <a:noFill/>
      <a:prstDash val="solid"/>
      <a:round/>
    </a:ln>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21</Pages>
  <Words>1393</Words>
  <Characters>7943</Characters>
  <Lines>66</Lines>
  <Paragraphs>18</Paragraphs>
  <TotalTime>3</TotalTime>
  <ScaleCrop>false</ScaleCrop>
  <LinksUpToDate>false</LinksUpToDate>
  <CharactersWithSpaces>9318</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2019-08-01T00:48:00Z</cp:lastPrinted>
  <dcterms:modified xsi:type="dcterms:W3CDTF">2020-09-15T08:55:51Z</dcterms:modified>
  <dc:title>四川省***</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