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阿坝州纪委监委2026年部门预算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3200" w:firstLineChars="1000"/>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2026年2月</w:t>
      </w:r>
      <w:r>
        <w:rPr>
          <w:rFonts w:hint="eastAsia" w:ascii="Times New Roman" w:hAnsi="Times New Roman" w:eastAsia="方正小标宋简体" w:cs="Times New Roman"/>
          <w:sz w:val="32"/>
          <w:szCs w:val="32"/>
          <w:lang w:val="en-US" w:eastAsia="zh-CN"/>
        </w:rPr>
        <w:t>4</w:t>
      </w:r>
      <w:r>
        <w:rPr>
          <w:rFonts w:hint="default" w:ascii="Times New Roman" w:hAnsi="Times New Roman" w:eastAsia="方正小标宋简体" w:cs="Times New Roman"/>
          <w:sz w:val="32"/>
          <w:szCs w:val="3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 录</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（一）部门职能简介</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（二）2026年重点工作</w:t>
      </w:r>
    </w:p>
    <w:p>
      <w:pP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二、</w:t>
      </w:r>
      <w:r>
        <w:rPr>
          <w:rFonts w:hint="default" w:ascii="Times New Roman" w:hAnsi="Times New Roman" w:eastAsia="黑体" w:cs="Times New Roman"/>
          <w:sz w:val="32"/>
          <w:szCs w:val="32"/>
        </w:rPr>
        <w:t>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（一）收入预算情况</w:t>
      </w:r>
    </w:p>
    <w:p>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楷体_GB2312" w:cs="Times New Roman"/>
          <w:sz w:val="32"/>
          <w:szCs w:val="32"/>
        </w:rPr>
        <w:t>（一）一般公共预算当年拨款规模变化情况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（二）一般公共预算当年拨款结构情况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rPr>
          <w:rFonts w:hint="default" w:ascii="Times New Roman" w:hAnsi="Times New Roman" w:eastAsia="黑体" w:cs="Times New Roman"/>
          <w:sz w:val="32"/>
          <w:szCs w:val="32"/>
        </w:rPr>
      </w:pPr>
    </w:p>
    <w:p>
      <w:pPr>
        <w:spacing w:line="576" w:lineRule="exact"/>
        <w:jc w:val="center"/>
        <w:rPr>
          <w:rFonts w:hint="default" w:ascii="Times New Roman" w:hAnsi="Times New Roman" w:eastAsia="方正小标宋简体" w:cs="Times New Roman"/>
          <w:sz w:val="44"/>
          <w:szCs w:val="44"/>
        </w:rPr>
      </w:pPr>
    </w:p>
    <w:p>
      <w:pPr>
        <w:spacing w:line="576"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阿坝州纪委监委</w:t>
      </w:r>
    </w:p>
    <w:p>
      <w:pPr>
        <w:spacing w:line="576"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2026年度部门预算说明</w:t>
      </w:r>
    </w:p>
    <w:p>
      <w:pPr>
        <w:spacing w:line="576" w:lineRule="exact"/>
        <w:ind w:firstLine="722" w:firstLineChars="200"/>
        <w:rPr>
          <w:rFonts w:hint="default" w:ascii="Times New Roman" w:hAnsi="Times New Roman" w:eastAsia="黑体" w:cs="Times New Roman"/>
          <w:b/>
          <w:bCs/>
          <w:sz w:val="36"/>
          <w:szCs w:val="36"/>
        </w:rPr>
      </w:pPr>
    </w:p>
    <w:p>
      <w:pPr>
        <w:spacing w:line="576" w:lineRule="exact"/>
        <w:ind w:firstLine="720" w:firstLineChars="200"/>
        <w:rPr>
          <w:rFonts w:hint="default" w:ascii="Times New Roman" w:hAnsi="Times New Roman" w:eastAsia="方正小标宋简体" w:cs="Times New Roman"/>
          <w:b w:val="0"/>
          <w:bCs w:val="0"/>
          <w:sz w:val="44"/>
          <w:szCs w:val="44"/>
        </w:rPr>
      </w:pPr>
      <w:r>
        <w:rPr>
          <w:rFonts w:hint="default" w:ascii="Times New Roman" w:hAnsi="Times New Roman" w:eastAsia="黑体" w:cs="Times New Roman"/>
          <w:b w:val="0"/>
          <w:bCs w:val="0"/>
          <w:sz w:val="36"/>
          <w:szCs w:val="36"/>
        </w:rPr>
        <w:t>一、基本职能及主要工作</w:t>
      </w:r>
    </w:p>
    <w:p>
      <w:pPr>
        <w:spacing w:line="576" w:lineRule="exact"/>
        <w:ind w:firstLine="642" w:firstLineChars="200"/>
        <w:rPr>
          <w:rFonts w:hint="default" w:ascii="Times New Roman" w:hAnsi="Times New Roman" w:eastAsia="楷体_GB2312" w:cs="Times New Roman"/>
          <w:sz w:val="44"/>
          <w:szCs w:val="44"/>
        </w:rPr>
      </w:pPr>
      <w:r>
        <w:rPr>
          <w:rFonts w:hint="default" w:ascii="Times New Roman" w:hAnsi="Times New Roman" w:eastAsia="楷体_GB2312" w:cs="Times New Roman"/>
          <w:b/>
          <w:sz w:val="32"/>
          <w:szCs w:val="32"/>
        </w:rPr>
        <w:t>（一）职能简介</w:t>
      </w:r>
    </w:p>
    <w:p>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中共阿坝州纪律检查委员会与阿坝州监察委员会合署办公，实行一套工作机构，两个机关名称，履行纪检、监察两项职能。在四川省纪委监委和中共阿坝州委双重领导下开展工作。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snapToGrid w:val="0"/>
        <w:spacing w:line="570" w:lineRule="exact"/>
        <w:ind w:left="0" w:firstLine="640" w:firstLineChars="200"/>
        <w:contextualSpacing w:val="0"/>
        <w:rPr>
          <w:rFonts w:hint="default" w:ascii="Times New Roman" w:hAnsi="Times New Roman" w:eastAsia="仿宋_GB2312" w:cs="Times New Roman"/>
          <w:vanish w:val="0"/>
          <w:kern w:val="2"/>
          <w:sz w:val="32"/>
          <w:szCs w:val="32"/>
        </w:rPr>
      </w:pPr>
      <w:r>
        <w:rPr>
          <w:rFonts w:hint="default" w:ascii="Times New Roman" w:hAnsi="Times New Roman" w:eastAsia="仿宋_GB2312" w:cs="Times New Roman"/>
          <w:vanish w:val="0"/>
          <w:kern w:val="2"/>
          <w:sz w:val="32"/>
          <w:szCs w:val="32"/>
        </w:rPr>
        <w:t>中共阿坝州纪委电子监察技术中心负责制定电子监察系统发展规划并组织安全运行，对机关网络、系统的日常管理和维护，对全州纪检监察信息网的规划、建设、管理、维护和指导工作，推广应用各项业务软件；抓好网络等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snapToGrid w:val="0"/>
        <w:spacing w:line="570" w:lineRule="exact"/>
        <w:ind w:left="0" w:firstLine="640" w:firstLineChars="200"/>
        <w:contextualSpacing w:val="0"/>
        <w:rPr>
          <w:rFonts w:hint="default" w:ascii="Times New Roman" w:hAnsi="Times New Roman" w:eastAsia="仿宋_GB2312" w:cs="Times New Roman"/>
          <w:vanish w:val="0"/>
          <w:kern w:val="2"/>
          <w:sz w:val="32"/>
          <w:szCs w:val="32"/>
        </w:rPr>
      </w:pPr>
      <w:r>
        <w:rPr>
          <w:rFonts w:hint="default" w:ascii="Times New Roman" w:hAnsi="Times New Roman" w:eastAsia="仿宋_GB2312" w:cs="Times New Roman"/>
          <w:vanish w:val="0"/>
          <w:kern w:val="2"/>
          <w:sz w:val="32"/>
          <w:szCs w:val="32"/>
        </w:rPr>
        <w:t>阿坝州监察委员会留置中心负责留置场所对象收置、日常管理、安全保卫和后勤服务保障等相关工作。</w:t>
      </w:r>
    </w:p>
    <w:p>
      <w:pPr>
        <w:spacing w:line="576"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vanish w:val="0"/>
          <w:kern w:val="2"/>
          <w:sz w:val="32"/>
          <w:szCs w:val="32"/>
        </w:rPr>
        <w:t>阿坝州党风廉政教育中心负责收集整理党风廉政教育素材，制作党风廉政建设宣传教育资料；协助做好全州党员领导干部党风廉政警示教育活动等相关工作。</w:t>
      </w:r>
    </w:p>
    <w:p>
      <w:pPr>
        <w:widowControl/>
        <w:spacing w:line="576" w:lineRule="exact"/>
        <w:ind w:firstLine="642" w:firstLineChars="200"/>
        <w:jc w:val="left"/>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（二）2026年重点工作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76" w:lineRule="exact"/>
        <w:ind w:firstLine="642" w:firstLineChars="200"/>
        <w:rPr>
          <w:rFonts w:hint="default" w:ascii="Times New Roman" w:hAnsi="Times New Roman" w:eastAsia="方正仿宋_GBK" w:cs="Times New Roman"/>
          <w:b/>
          <w:bCs/>
          <w:vanish w:val="0"/>
          <w:kern w:val="2"/>
          <w:sz w:val="36"/>
          <w:szCs w:val="36"/>
        </w:rPr>
      </w:pPr>
      <w:r>
        <w:rPr>
          <w:rFonts w:hint="default" w:ascii="Times New Roman" w:hAnsi="Times New Roman" w:eastAsia="方正楷体_GBK" w:cs="Times New Roman"/>
          <w:b/>
          <w:bCs/>
          <w:vanish w:val="0"/>
          <w:kern w:val="2"/>
          <w:sz w:val="32"/>
          <w:szCs w:val="32"/>
        </w:rPr>
        <w:t>围绕中心大局强化监督。</w:t>
      </w:r>
      <w:r>
        <w:rPr>
          <w:rFonts w:hint="default" w:ascii="Times New Roman" w:hAnsi="Times New Roman" w:eastAsia="方正仿宋_GBK" w:cs="Times New Roman"/>
          <w:b w:val="0"/>
          <w:bCs w:val="0"/>
          <w:vanish w:val="0"/>
          <w:kern w:val="2"/>
          <w:sz w:val="32"/>
          <w:szCs w:val="32"/>
        </w:rPr>
        <w:t>认真落实政治监督具体化、精准化、常态化要求，聚焦生态保护、优化营商环境、重大项目建设等重点领域，采取“州县乡贯通+室组地联动”“日常监督+专项监督”等方式，聚焦重点问题、重点对象，细化监督重点清单，扎实开展“主题式”“嵌入式”政治监督，强力推动上级各项决策部署在阿坝落实见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76" w:lineRule="exact"/>
        <w:ind w:left="0" w:right="0" w:firstLine="642" w:firstLineChars="200"/>
        <w:rPr>
          <w:rFonts w:hint="default" w:ascii="Times New Roman" w:hAnsi="Times New Roman" w:eastAsia="方正仿宋_GBK" w:cs="Times New Roman"/>
          <w:vanish w:val="0"/>
          <w:kern w:val="2"/>
          <w:sz w:val="32"/>
          <w:szCs w:val="32"/>
        </w:rPr>
      </w:pPr>
      <w:r>
        <w:rPr>
          <w:rFonts w:hint="default" w:ascii="Times New Roman" w:hAnsi="Times New Roman" w:eastAsia="方正楷体_GBK" w:cs="Times New Roman"/>
          <w:b/>
          <w:bCs/>
          <w:vanish w:val="0"/>
          <w:kern w:val="2"/>
          <w:sz w:val="32"/>
          <w:szCs w:val="32"/>
        </w:rPr>
        <w:t>聚焦重点领域惩贪治腐。</w:t>
      </w:r>
      <w:r>
        <w:rPr>
          <w:rFonts w:hint="default" w:ascii="Times New Roman" w:hAnsi="Times New Roman" w:eastAsia="方正仿宋_GBK" w:cs="Times New Roman"/>
          <w:b w:val="0"/>
          <w:bCs w:val="0"/>
          <w:vanish w:val="0"/>
          <w:kern w:val="2"/>
          <w:sz w:val="32"/>
          <w:szCs w:val="32"/>
        </w:rPr>
        <w:t>坚持办案引领，有力查处一批有影响力的案件，释放震慑效应。持</w:t>
      </w:r>
      <w:r>
        <w:rPr>
          <w:rFonts w:hint="default" w:ascii="Times New Roman" w:hAnsi="Times New Roman" w:eastAsia="方正仿宋_GBK" w:cs="Times New Roman"/>
          <w:b w:val="0"/>
          <w:bCs w:val="0"/>
          <w:vanish w:val="0"/>
          <w:kern w:val="0"/>
          <w:sz w:val="32"/>
          <w:szCs w:val="32"/>
        </w:rPr>
        <w:t>续深化“阳光阿坝”宣传矩阵融合发展，</w:t>
      </w:r>
      <w:r>
        <w:rPr>
          <w:rFonts w:hint="default" w:ascii="Times New Roman" w:hAnsi="Times New Roman" w:eastAsia="方正仿宋_GBK" w:cs="Times New Roman"/>
          <w:vanish w:val="0"/>
          <w:kern w:val="2"/>
          <w:sz w:val="32"/>
          <w:szCs w:val="32"/>
        </w:rPr>
        <w:t>用好廉洁文化教育基地，精心策划制作廉洁文化短视频，</w:t>
      </w:r>
      <w:r>
        <w:rPr>
          <w:rFonts w:hint="default" w:ascii="Times New Roman" w:hAnsi="Times New Roman" w:eastAsia="方正仿宋_GBK" w:cs="Times New Roman"/>
          <w:b w:val="0"/>
          <w:bCs w:val="0"/>
          <w:vanish w:val="0"/>
          <w:kern w:val="0"/>
          <w:sz w:val="32"/>
          <w:szCs w:val="32"/>
        </w:rPr>
        <w:t>用党员干部愿意听、愿意看的方式讲好正风肃纪反腐阿坝故事，</w:t>
      </w:r>
      <w:r>
        <w:rPr>
          <w:rFonts w:hint="default" w:ascii="Times New Roman" w:hAnsi="Times New Roman" w:eastAsia="方正仿宋_GBK" w:cs="Times New Roman"/>
          <w:vanish w:val="0"/>
          <w:kern w:val="2"/>
          <w:sz w:val="32"/>
          <w:szCs w:val="32"/>
        </w:rPr>
        <w:t>积极构建新时代廉洁文化建设长效机制。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76" w:lineRule="exact"/>
        <w:ind w:firstLine="642" w:firstLineChars="200"/>
        <w:rPr>
          <w:rFonts w:hint="default" w:ascii="Times New Roman" w:hAnsi="Times New Roman" w:eastAsia="方正仿宋_GBK" w:cs="Times New Roman"/>
          <w:b w:val="0"/>
          <w:bCs w:val="0"/>
          <w:vanish w:val="0"/>
          <w:kern w:val="2"/>
          <w:sz w:val="32"/>
          <w:szCs w:val="32"/>
        </w:rPr>
      </w:pPr>
      <w:r>
        <w:rPr>
          <w:rFonts w:hint="default" w:ascii="Times New Roman" w:hAnsi="Times New Roman" w:eastAsia="方正楷体_GBK" w:cs="Times New Roman"/>
          <w:b/>
          <w:bCs/>
          <w:vanish w:val="0"/>
          <w:kern w:val="2"/>
          <w:sz w:val="32"/>
          <w:szCs w:val="32"/>
        </w:rPr>
        <w:t>紧盯突出问题纠治“四风”。</w:t>
      </w:r>
      <w:r>
        <w:rPr>
          <w:rFonts w:hint="default" w:ascii="Times New Roman" w:hAnsi="Times New Roman" w:eastAsia="方正仿宋_GBK" w:cs="Times New Roman"/>
          <w:b w:val="0"/>
          <w:bCs w:val="0"/>
          <w:vanish w:val="0"/>
          <w:kern w:val="2"/>
          <w:sz w:val="32"/>
          <w:szCs w:val="32"/>
        </w:rPr>
        <w:t>以深入贯彻中央八项规定精神学习教育为主线，聚焦违规吃喝等问题，开展专项整治行动，推动作风建设常态化、长效化。充分发挥派驻监督作用，紧盯“一把手”等关键少数，做实日常监督；统筹“室组地”、职能部门力量，压实“五个之州”等专项工作职能部门主体责任，做细专项监督。坚持查改治贯通，深化督查结果运用，进一步提升监督质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76" w:lineRule="exact"/>
        <w:ind w:firstLine="642" w:firstLineChars="200"/>
        <w:jc w:val="both"/>
        <w:rPr>
          <w:rFonts w:hint="default" w:ascii="Times New Roman" w:hAnsi="Times New Roman" w:eastAsia="方正仿宋_GBK" w:cs="Times New Roman"/>
          <w:vanish w:val="0"/>
          <w:kern w:val="2"/>
          <w:sz w:val="32"/>
          <w:szCs w:val="32"/>
          <w:shd w:val="clear" w:color="auto" w:fill="FFFFFF"/>
        </w:rPr>
      </w:pPr>
      <w:r>
        <w:rPr>
          <w:rFonts w:hint="default" w:ascii="Times New Roman" w:hAnsi="Times New Roman" w:eastAsia="方正楷体_GBK" w:cs="Times New Roman"/>
          <w:b/>
          <w:bCs/>
          <w:vanish w:val="0"/>
          <w:kern w:val="2"/>
          <w:sz w:val="32"/>
          <w:szCs w:val="32"/>
        </w:rPr>
        <w:t>立足问题整改深化巡察。</w:t>
      </w:r>
      <w:r>
        <w:rPr>
          <w:rFonts w:hint="default" w:ascii="Times New Roman" w:hAnsi="Times New Roman" w:eastAsia="方正仿宋_GBK" w:cs="Times New Roman"/>
          <w:vanish w:val="0"/>
          <w:kern w:val="2"/>
          <w:sz w:val="32"/>
          <w:szCs w:val="32"/>
          <w:shd w:val="clear" w:color="auto" w:fill="FFFFFF"/>
        </w:rPr>
        <w:t>谋划《州委巡察工作规划（2027年—2031年）》，探索建立反馈问题联动整改机制，构建巡察整改责任闭环体系，推动整改责任具体化、规范化。制定问题整改方案、台账，细化目标任务、措施，确保整改工作有力有序有效推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76" w:lineRule="exact"/>
        <w:ind w:firstLine="642" w:firstLineChars="200"/>
        <w:rPr>
          <w:rFonts w:hint="default" w:ascii="Times New Roman" w:hAnsi="Times New Roman" w:eastAsia="方正仿宋_GBK" w:cs="Times New Roman"/>
          <w:sz w:val="32"/>
          <w:szCs w:val="32"/>
          <w:shd w:val="clear" w:color="auto" w:fill="FFFFFF"/>
        </w:rPr>
      </w:pPr>
      <w:r>
        <w:rPr>
          <w:rFonts w:hint="default" w:ascii="Times New Roman" w:hAnsi="Times New Roman" w:eastAsia="方正楷体_GBK" w:cs="Times New Roman"/>
          <w:b/>
          <w:bCs/>
          <w:vanish w:val="0"/>
          <w:kern w:val="2"/>
          <w:sz w:val="32"/>
          <w:szCs w:val="32"/>
        </w:rPr>
        <w:t>适应形势所需锻造队伍。</w:t>
      </w:r>
      <w:r>
        <w:rPr>
          <w:rFonts w:hint="default" w:ascii="Times New Roman" w:hAnsi="Times New Roman" w:eastAsia="方正仿宋_GBK" w:cs="Times New Roman"/>
          <w:vanish w:val="0"/>
          <w:kern w:val="2"/>
          <w:sz w:val="32"/>
          <w:szCs w:val="32"/>
          <w:shd w:val="clear" w:color="auto" w:fill="FFFFFF"/>
        </w:rPr>
        <w:t>完善干部教育培训计划，充分发挥州本级优势资源作用。适时调整优化干部队伍结构，督促各级各部门增强学习教育针对性、实效性。</w:t>
      </w:r>
    </w:p>
    <w:p>
      <w:pPr>
        <w:spacing w:line="576" w:lineRule="exact"/>
        <w:ind w:firstLine="720" w:firstLineChars="200"/>
        <w:rPr>
          <w:rFonts w:hint="default" w:ascii="Times New Roman" w:hAnsi="Times New Roman" w:eastAsia="黑体" w:cs="Times New Roman"/>
          <w:b w:val="0"/>
          <w:bCs w:val="0"/>
          <w:sz w:val="36"/>
          <w:szCs w:val="36"/>
        </w:rPr>
      </w:pPr>
      <w:r>
        <w:rPr>
          <w:rFonts w:hint="default" w:ascii="Times New Roman" w:hAnsi="Times New Roman" w:eastAsia="黑体" w:cs="Times New Roman"/>
          <w:b w:val="0"/>
          <w:bCs w:val="0"/>
          <w:sz w:val="36"/>
          <w:szCs w:val="36"/>
        </w:rPr>
        <w:t>二、部门预算单位构成</w:t>
      </w:r>
    </w:p>
    <w:p>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州纪委监委为一级预算单位，下属二级预算单位4个，其中行政单位1个，其他事业单位3个。主要包括：中共阿坝州纪律检查委员会，阿坝州监察委员会留置中心，中共阿坝州纪委电子监察技术中心，阿坝州党风廉政教育中心。</w:t>
      </w:r>
    </w:p>
    <w:p>
      <w:pPr>
        <w:spacing w:line="576" w:lineRule="exact"/>
        <w:ind w:firstLine="720" w:firstLineChars="200"/>
        <w:rPr>
          <w:rFonts w:hint="default" w:ascii="Times New Roman" w:hAnsi="Times New Roman" w:eastAsia="黑体" w:cs="Times New Roman"/>
          <w:b w:val="0"/>
          <w:bCs w:val="0"/>
          <w:sz w:val="36"/>
          <w:szCs w:val="36"/>
        </w:rPr>
      </w:pPr>
      <w:r>
        <w:rPr>
          <w:rFonts w:hint="default" w:ascii="Times New Roman" w:hAnsi="Times New Roman" w:eastAsia="黑体" w:cs="Times New Roman"/>
          <w:b w:val="0"/>
          <w:bCs w:val="0"/>
          <w:sz w:val="36"/>
          <w:szCs w:val="36"/>
        </w:rPr>
        <w:t>三、收支预算情况说明</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cs="Times New Roman"/>
          <w:kern w:val="2"/>
          <w:sz w:val="32"/>
          <w:szCs w:val="32"/>
        </w:rPr>
        <w:t>按照综合预算的原则，本单位所有收入和支出均纳入部门预算管理。收入包括：一般公共预算拨款收入15825.05万元，事业收入0万元，其他收入788.93万元，上年结转0万元；支出包括：一般公共服务支出14904.5万元，教育支出0万元，文化体育与传媒支出0万元，社会保障和就业支出491.93万元，卫生健康支出183.41万元，住房保障支出245.21万元，其他支出788.93万元。州纪委监委2026年收支总预算16613.98万元，比2025年收支预算总数7014.78万元增加9599.2万元，</w:t>
      </w:r>
      <w:r>
        <w:rPr>
          <w:rFonts w:hint="default" w:ascii="Times New Roman" w:hAnsi="Times New Roman" w:eastAsia="仿宋_GB2312" w:cs="Times New Roman"/>
          <w:vanish w:val="0"/>
          <w:kern w:val="0"/>
          <w:sz w:val="32"/>
          <w:szCs w:val="32"/>
        </w:rPr>
        <w:t>主要原因为今年我委</w:t>
      </w:r>
      <w:r>
        <w:rPr>
          <w:rFonts w:hint="eastAsia" w:ascii="Times New Roman" w:hAnsi="Times New Roman" w:cs="Times New Roman"/>
          <w:vanish w:val="0"/>
          <w:kern w:val="0"/>
          <w:sz w:val="32"/>
          <w:szCs w:val="32"/>
          <w:lang w:eastAsia="zh-CN"/>
        </w:rPr>
        <w:t>新增</w:t>
      </w:r>
      <w:r>
        <w:rPr>
          <w:rFonts w:hint="default" w:ascii="Times New Roman" w:hAnsi="Times New Roman" w:eastAsia="仿宋_GB2312" w:cs="Times New Roman"/>
          <w:vanish w:val="0"/>
          <w:kern w:val="0"/>
          <w:sz w:val="32"/>
          <w:szCs w:val="32"/>
        </w:rPr>
        <w:t>项目建设，经费有所上涨</w:t>
      </w:r>
      <w:r>
        <w:rPr>
          <w:rFonts w:hint="default" w:ascii="Times New Roman" w:hAnsi="Times New Roman" w:cs="Times New Roman"/>
          <w:kern w:val="2"/>
          <w:sz w:val="32"/>
          <w:szCs w:val="32"/>
        </w:rPr>
        <w:t>。</w:t>
      </w:r>
    </w:p>
    <w:p>
      <w:pPr>
        <w:pStyle w:val="6"/>
        <w:spacing w:before="0" w:line="576" w:lineRule="exact"/>
        <w:ind w:firstLine="495"/>
        <w:rPr>
          <w:rFonts w:hint="default" w:ascii="Times New Roman" w:hAnsi="Times New Roman" w:eastAsia="楷体_GB2312" w:cs="Times New Roman"/>
          <w:sz w:val="16"/>
          <w:szCs w:val="16"/>
        </w:rPr>
      </w:pPr>
      <w:r>
        <w:rPr>
          <w:rFonts w:hint="default" w:ascii="Times New Roman" w:hAnsi="Times New Roman" w:eastAsia="楷体_GB2312" w:cs="Times New Roman"/>
          <w:b/>
          <w:kern w:val="2"/>
          <w:sz w:val="32"/>
          <w:szCs w:val="32"/>
        </w:rPr>
        <w:t>（一）收入预算情况</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cs="Times New Roman"/>
          <w:kern w:val="2"/>
          <w:sz w:val="32"/>
          <w:szCs w:val="32"/>
        </w:rPr>
        <w:t>本单位2026年收入预算16613.98万元，其中：一般公共预算拨款收入15825.05万元，占95.25%；其他收入788.93万元，占4.75%。无政府性基金预算拨款收入、国有资本经营预算拨款收入、事业收入及事业单位经营收入。</w:t>
      </w:r>
    </w:p>
    <w:p>
      <w:pPr>
        <w:pStyle w:val="6"/>
        <w:spacing w:before="0" w:line="576" w:lineRule="exact"/>
        <w:ind w:firstLine="495"/>
        <w:rPr>
          <w:rFonts w:hint="default" w:ascii="Times New Roman" w:hAnsi="Times New Roman" w:eastAsia="楷体_GB2312" w:cs="Times New Roman"/>
          <w:sz w:val="16"/>
          <w:szCs w:val="16"/>
        </w:rPr>
      </w:pPr>
      <w:r>
        <w:rPr>
          <w:rFonts w:hint="default" w:ascii="Times New Roman" w:hAnsi="Times New Roman" w:eastAsia="楷体_GB2312" w:cs="Times New Roman"/>
          <w:b/>
          <w:kern w:val="2"/>
          <w:sz w:val="32"/>
          <w:szCs w:val="32"/>
        </w:rPr>
        <w:t>（二）支出预算情况</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cs="Times New Roman"/>
          <w:kern w:val="2"/>
          <w:sz w:val="32"/>
          <w:szCs w:val="32"/>
        </w:rPr>
        <w:t>本单位2026年支出预算16613.98万元，其中：基本支出3639.75万元，占21.91%；项目支出12974.23万元，占78.09%。</w:t>
      </w:r>
    </w:p>
    <w:p>
      <w:pPr>
        <w:spacing w:line="576" w:lineRule="exact"/>
        <w:ind w:firstLine="720" w:firstLineChars="200"/>
        <w:rPr>
          <w:rFonts w:hint="default" w:ascii="Times New Roman" w:hAnsi="Times New Roman" w:eastAsia="黑体" w:cs="Times New Roman"/>
          <w:b w:val="0"/>
          <w:bCs w:val="0"/>
          <w:sz w:val="36"/>
          <w:szCs w:val="36"/>
        </w:rPr>
      </w:pPr>
      <w:r>
        <w:rPr>
          <w:rFonts w:hint="default" w:ascii="Times New Roman" w:hAnsi="Times New Roman" w:eastAsia="黑体" w:cs="Times New Roman"/>
          <w:b w:val="0"/>
          <w:bCs w:val="0"/>
          <w:sz w:val="36"/>
          <w:szCs w:val="36"/>
        </w:rPr>
        <w:t>四、财政拨款收支预算情况说明</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cs="Times New Roman"/>
          <w:kern w:val="2"/>
          <w:sz w:val="32"/>
          <w:szCs w:val="32"/>
        </w:rPr>
        <w:t>本单位2026年财政拨款收支总预算16613.98万元, 比2025年收支预算总数增加9599.2万元，</w:t>
      </w:r>
      <w:r>
        <w:rPr>
          <w:rFonts w:hint="default" w:ascii="Times New Roman" w:hAnsi="Times New Roman" w:eastAsia="仿宋_GB2312" w:cs="Times New Roman"/>
          <w:vanish w:val="0"/>
          <w:kern w:val="0"/>
          <w:sz w:val="32"/>
          <w:szCs w:val="32"/>
        </w:rPr>
        <w:t>主要原因为今年我委</w:t>
      </w:r>
      <w:r>
        <w:rPr>
          <w:rFonts w:hint="eastAsia" w:ascii="Times New Roman" w:hAnsi="Times New Roman" w:cs="Times New Roman"/>
          <w:vanish w:val="0"/>
          <w:kern w:val="0"/>
          <w:sz w:val="32"/>
          <w:szCs w:val="32"/>
          <w:lang w:eastAsia="zh-CN"/>
        </w:rPr>
        <w:t>新增</w:t>
      </w:r>
      <w:r>
        <w:rPr>
          <w:rFonts w:hint="default" w:ascii="Times New Roman" w:hAnsi="Times New Roman" w:eastAsia="仿宋_GB2312" w:cs="Times New Roman"/>
          <w:vanish w:val="0"/>
          <w:kern w:val="0"/>
          <w:sz w:val="32"/>
          <w:szCs w:val="32"/>
        </w:rPr>
        <w:t>项目建设，经费有所上涨</w:t>
      </w:r>
      <w:r>
        <w:rPr>
          <w:rFonts w:hint="default" w:ascii="Times New Roman" w:hAnsi="Times New Roman" w:cs="Times New Roman"/>
          <w:kern w:val="2"/>
          <w:sz w:val="32"/>
          <w:szCs w:val="32"/>
        </w:rPr>
        <w:t>。</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cs="Times New Roman"/>
          <w:kern w:val="2"/>
          <w:sz w:val="32"/>
          <w:szCs w:val="32"/>
        </w:rPr>
        <w:t>收入包括：本年一般公共预算拨款收入15825.05万元，其他收入788.93万元。</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cs="Times New Roman"/>
          <w:kern w:val="2"/>
          <w:sz w:val="32"/>
          <w:szCs w:val="32"/>
        </w:rPr>
        <w:t>支出包括：一般公共服务支出14904.5万元，教育支出0万元，文化体育与传媒支出0万元，社会保障和就业支出491.93万元，卫生健康支出183.41万元，住房保障支出245.21万元，其他支出788.93万元。</w:t>
      </w:r>
    </w:p>
    <w:p>
      <w:pPr>
        <w:spacing w:line="576" w:lineRule="exact"/>
        <w:ind w:firstLine="720" w:firstLineChars="200"/>
        <w:rPr>
          <w:rFonts w:hint="default" w:ascii="Times New Roman" w:hAnsi="Times New Roman" w:eastAsia="黑体" w:cs="Times New Roman"/>
          <w:b w:val="0"/>
          <w:bCs w:val="0"/>
          <w:sz w:val="36"/>
          <w:szCs w:val="36"/>
        </w:rPr>
      </w:pPr>
      <w:r>
        <w:rPr>
          <w:rFonts w:hint="default" w:ascii="Times New Roman" w:hAnsi="Times New Roman" w:eastAsia="黑体" w:cs="Times New Roman"/>
          <w:b w:val="0"/>
          <w:bCs w:val="0"/>
          <w:sz w:val="36"/>
          <w:szCs w:val="36"/>
        </w:rPr>
        <w:t>五、一般公共预算当年拨款情况说明</w:t>
      </w:r>
    </w:p>
    <w:p>
      <w:pPr>
        <w:pStyle w:val="6"/>
        <w:spacing w:before="0" w:line="576" w:lineRule="exact"/>
        <w:ind w:firstLine="495"/>
        <w:rPr>
          <w:rFonts w:hint="default" w:ascii="Times New Roman" w:hAnsi="Times New Roman" w:eastAsia="楷体_GB2312" w:cs="Times New Roman"/>
          <w:sz w:val="16"/>
          <w:szCs w:val="16"/>
        </w:rPr>
      </w:pPr>
      <w:r>
        <w:rPr>
          <w:rFonts w:hint="default" w:ascii="Times New Roman" w:hAnsi="Times New Roman" w:eastAsia="楷体_GB2312" w:cs="Times New Roman"/>
          <w:b/>
          <w:kern w:val="2"/>
          <w:sz w:val="32"/>
          <w:szCs w:val="32"/>
        </w:rPr>
        <w:t>（一）一般公共预算当年拨款规模变化情况</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cs="Times New Roman"/>
          <w:kern w:val="2"/>
          <w:sz w:val="32"/>
          <w:szCs w:val="32"/>
        </w:rPr>
        <w:t>本单位2026年一般公共预算当年拨款15825.05万元，比2025年收支预算总数增加8810.27万元，增长125.60%，</w:t>
      </w:r>
      <w:r>
        <w:rPr>
          <w:rFonts w:hint="default" w:ascii="Times New Roman" w:hAnsi="Times New Roman" w:eastAsia="仿宋_GB2312" w:cs="Times New Roman"/>
          <w:vanish w:val="0"/>
          <w:kern w:val="0"/>
          <w:sz w:val="32"/>
          <w:szCs w:val="32"/>
        </w:rPr>
        <w:t>主要原因为今年我委</w:t>
      </w:r>
      <w:r>
        <w:rPr>
          <w:rFonts w:hint="eastAsia" w:ascii="Times New Roman" w:hAnsi="Times New Roman" w:cs="Times New Roman"/>
          <w:vanish w:val="0"/>
          <w:kern w:val="0"/>
          <w:sz w:val="32"/>
          <w:szCs w:val="32"/>
          <w:lang w:eastAsia="zh-CN"/>
        </w:rPr>
        <w:t>新增</w:t>
      </w:r>
      <w:r>
        <w:rPr>
          <w:rFonts w:hint="default" w:ascii="Times New Roman" w:hAnsi="Times New Roman" w:eastAsia="仿宋_GB2312" w:cs="Times New Roman"/>
          <w:vanish w:val="0"/>
          <w:kern w:val="0"/>
          <w:sz w:val="32"/>
          <w:szCs w:val="32"/>
        </w:rPr>
        <w:t>项目建设，经费有所上涨</w:t>
      </w:r>
      <w:r>
        <w:rPr>
          <w:rFonts w:hint="default" w:ascii="Times New Roman" w:hAnsi="Times New Roman" w:cs="Times New Roman"/>
          <w:kern w:val="2"/>
          <w:sz w:val="32"/>
          <w:szCs w:val="32"/>
        </w:rPr>
        <w:t>。</w:t>
      </w:r>
    </w:p>
    <w:p>
      <w:pPr>
        <w:pStyle w:val="6"/>
        <w:spacing w:before="0" w:line="576" w:lineRule="exact"/>
        <w:ind w:firstLine="495"/>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（二）一般公共预算当年拨款结构情况</w:t>
      </w:r>
      <w:r>
        <w:rPr>
          <w:rFonts w:hint="default" w:ascii="Times New Roman" w:hAnsi="Times New Roman" w:eastAsia="宋体" w:cs="Times New Roman"/>
          <w:sz w:val="16"/>
          <w:szCs w:val="16"/>
        </w:rPr>
        <w:br w:type="textWrapping"/>
      </w:r>
      <w:r>
        <w:rPr>
          <w:rFonts w:hint="default" w:ascii="Times New Roman" w:hAnsi="Times New Roman" w:cs="Times New Roman"/>
          <w:kern w:val="2"/>
          <w:sz w:val="32"/>
          <w:szCs w:val="32"/>
        </w:rPr>
        <w:t>　　一般公共服务支出14904.5万元，占89.71%；社会保障和就业支出491.93万元，占2.96%；卫生健康支出183.41万元，占1.10%；住房保障支出245.21万元，占1.48%；其他支出788.93万元，占4.75%。</w:t>
      </w:r>
    </w:p>
    <w:p>
      <w:pPr>
        <w:pStyle w:val="6"/>
        <w:spacing w:before="0" w:line="576" w:lineRule="exact"/>
        <w:ind w:firstLine="321" w:firstLineChars="10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（三）一般公共预算当年拨款具体使用情况</w:t>
      </w:r>
      <w:r>
        <w:rPr>
          <w:rFonts w:hint="default" w:ascii="Times New Roman" w:hAnsi="Times New Roman" w:eastAsia="宋体" w:cs="Times New Roman"/>
          <w:sz w:val="16"/>
          <w:szCs w:val="16"/>
        </w:rPr>
        <w:br w:type="textWrapping"/>
      </w:r>
      <w:r>
        <w:rPr>
          <w:rFonts w:hint="default" w:ascii="Times New Roman" w:hAnsi="Times New Roman" w:cs="Times New Roman"/>
          <w:kern w:val="2"/>
          <w:sz w:val="32"/>
          <w:szCs w:val="32"/>
        </w:rPr>
        <w:t>　　1．一般公共服务（类）纪检监察事务（款）行政运行（项目）2026年预算数为2508.34万元，主要用于工资福利支出、日常办公经费、公务用车维护费等。</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2.</w:t>
      </w:r>
      <w:bookmarkStart w:id="0" w:name="_Hlk157850901"/>
      <w:r>
        <w:rPr>
          <w:rFonts w:hint="default" w:ascii="Times New Roman" w:hAnsi="Times New Roman" w:cs="Times New Roman"/>
          <w:kern w:val="2"/>
          <w:sz w:val="32"/>
          <w:szCs w:val="32"/>
        </w:rPr>
        <w:t>一般公共服务（类）纪检监察事务（款）一般行政管理事务（项目）2026年预算数为10130.3万元，主要用于行政单位（包括实行公务员管理的事业单位）未单独设置项级科目的其他项目支出。</w:t>
      </w:r>
    </w:p>
    <w:bookmarkEnd w:id="0"/>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3. 一般公共服务（类）纪检监察事务（款）机关服务（项目）2026年预算数为385万元，主要用于其他事业单位的其他项目支出。</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4. 一般公共服务（类）纪检监察事务（款）大案要案查处（项目）2026年预算数为1600万元，主要用于查处专案专项业务支出。</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5. 一般公共服务（类）纪检监察事务（款）派驻派出机构（项目）2026年预算数为70万元，主要用于派驻纪检组专项业务支出。</w:t>
      </w:r>
    </w:p>
    <w:p>
      <w:pPr>
        <w:pStyle w:val="6"/>
        <w:spacing w:before="0" w:line="576" w:lineRule="exact"/>
        <w:ind w:firstLine="652" w:firstLineChars="204"/>
        <w:rPr>
          <w:rFonts w:hint="default" w:ascii="Times New Roman" w:hAnsi="Times New Roman" w:cs="Times New Roman"/>
          <w:kern w:val="2"/>
          <w:sz w:val="32"/>
          <w:szCs w:val="32"/>
        </w:rPr>
      </w:pPr>
      <w:r>
        <w:rPr>
          <w:rFonts w:hint="default" w:ascii="Times New Roman" w:hAnsi="Times New Roman" w:cs="Times New Roman"/>
          <w:kern w:val="2"/>
          <w:sz w:val="32"/>
          <w:szCs w:val="32"/>
        </w:rPr>
        <w:t>6．一般公共服务（类）纪检监察事务（款）事业运行（项目）2026年预算数为210.86万元，主要用于事业编制人员公用经费及人员经费。</w:t>
      </w:r>
    </w:p>
    <w:p>
      <w:pPr>
        <w:pStyle w:val="6"/>
        <w:spacing w:before="0" w:line="576" w:lineRule="exact"/>
        <w:ind w:firstLine="320" w:firstLineChars="100"/>
        <w:rPr>
          <w:rFonts w:hint="default" w:ascii="Times New Roman" w:hAnsi="Times New Roman" w:cs="Times New Roman"/>
          <w:kern w:val="2"/>
          <w:sz w:val="32"/>
          <w:szCs w:val="32"/>
        </w:rPr>
      </w:pPr>
      <w:r>
        <w:rPr>
          <w:rFonts w:hint="default" w:ascii="Times New Roman" w:hAnsi="Times New Roman" w:cs="Times New Roman"/>
          <w:kern w:val="2"/>
          <w:sz w:val="32"/>
          <w:szCs w:val="32"/>
        </w:rPr>
        <w:t>　7．社会保障和就业支出（类）行政单位离退费（款）机关事业单位基本养老保险缴费支出（项目），2026年预算数为327.96万元，主要用于为职工缴纳养老保险。</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8. 社会保障和就业支出（类）行政单位离退费（款）机关事业单位职业年金缴费支出（项目），2026年预算数为163.97万元，主要用于为职工缴纳职业年金。</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9. 卫生健康支出（类）行政事业单位医疗（款）行政单位医疗（项目），2026年预算数为130.76万元，主要用于为职工缴纳医疗保险。</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10. 卫生健康支出（类）行政事业单位医疗（款）事业单位医疗（项目），2026年预算数为15.87万元，主要用于为事业人员缴纳医疗保险。</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11. 卫生健康支出（类）行政事业单位医疗（款）公务员医疗补助（项目），2026年预算数为33.54万元，主要用于行政人员公务员医疗补助。</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12. 卫生健康支出（类）行政事业单位医疗（款）其他行政事业单位医疗支出（项目），2026年预算数为3.25万元，主要用于事业人员公务员医疗补助。</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13. 住房保障支出（类）住房改革支出（款）住房公积金（项目），2026年预算数为245.21万元，主要用于为职工缴纳住房公积金。</w:t>
      </w:r>
    </w:p>
    <w:p>
      <w:pPr>
        <w:pStyle w:val="6"/>
        <w:spacing w:before="0" w:line="576" w:lineRule="exact"/>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14.其他支出（类）其他支出（款）其他支出（项目），2026年预算数为788.93万元，主要用于核算其他财政支出。</w:t>
      </w:r>
    </w:p>
    <w:p>
      <w:pPr>
        <w:pStyle w:val="6"/>
        <w:spacing w:before="0" w:line="576" w:lineRule="exact"/>
        <w:ind w:firstLine="579" w:firstLineChars="161"/>
        <w:rPr>
          <w:rFonts w:hint="default" w:ascii="Times New Roman" w:hAnsi="Times New Roman" w:cs="Times New Roman"/>
          <w:kern w:val="2"/>
          <w:sz w:val="32"/>
          <w:szCs w:val="32"/>
        </w:rPr>
      </w:pPr>
      <w:r>
        <w:rPr>
          <w:rFonts w:hint="default" w:ascii="Times New Roman" w:hAnsi="Times New Roman" w:eastAsia="黑体" w:cs="Times New Roman"/>
          <w:b w:val="0"/>
          <w:bCs w:val="0"/>
          <w:kern w:val="2"/>
          <w:sz w:val="36"/>
          <w:szCs w:val="36"/>
          <w:lang w:val="en-US" w:eastAsia="zh-CN" w:bidi="ar-SA"/>
        </w:rPr>
        <w:t>六、一般公共预算基本支出情况说明</w:t>
      </w:r>
      <w:r>
        <w:rPr>
          <w:rFonts w:hint="default" w:ascii="Times New Roman" w:hAnsi="Times New Roman" w:eastAsia="宋体" w:cs="Times New Roman"/>
          <w:b/>
          <w:bCs/>
          <w:sz w:val="16"/>
          <w:szCs w:val="16"/>
        </w:rPr>
        <w:br w:type="textWrapping"/>
      </w:r>
      <w:r>
        <w:rPr>
          <w:rFonts w:hint="default" w:ascii="Times New Roman" w:hAnsi="Times New Roman" w:cs="Times New Roman"/>
          <w:kern w:val="2"/>
          <w:sz w:val="32"/>
          <w:szCs w:val="32"/>
        </w:rPr>
        <w:t>　　本单位2026年一般公共预算基本支出3639.75万元，其中：人员经费3129.69万元，主要包括：基本工资、津贴补贴、奖金、绩效工资、机关事业单位基本养老保险缴费、职业年金缴费、职工基本医疗保险缴费、公务员医疗补助缴费、其他社会保障缴费、其他工资福利支出、住房公积金、生活补助、奖励金。公用经费510.06万元，主要包括：办公费、水费、电费、取暖费、差旅费、维修（护）费、培训费、公务接待费、公务用车运行维护费、其他商品和服务支出、体检费、离退休人员公用经费。</w:t>
      </w:r>
      <w:r>
        <w:rPr>
          <w:rFonts w:hint="default" w:ascii="Times New Roman" w:hAnsi="Times New Roman" w:eastAsia="宋体" w:cs="Times New Roman"/>
          <w:sz w:val="16"/>
          <w:szCs w:val="16"/>
        </w:rPr>
        <w:br w:type="textWrapping"/>
      </w:r>
      <w:r>
        <w:rPr>
          <w:rFonts w:hint="default" w:ascii="Times New Roman" w:hAnsi="Times New Roman" w:eastAsia="黑体" w:cs="Times New Roman"/>
          <w:b/>
          <w:bCs/>
          <w:kern w:val="2"/>
          <w:sz w:val="36"/>
          <w:szCs w:val="36"/>
        </w:rPr>
        <w:t>　　</w:t>
      </w:r>
      <w:r>
        <w:rPr>
          <w:rFonts w:hint="default" w:ascii="Times New Roman" w:hAnsi="Times New Roman" w:eastAsia="黑体" w:cs="Times New Roman"/>
          <w:b w:val="0"/>
          <w:bCs w:val="0"/>
          <w:kern w:val="2"/>
          <w:sz w:val="36"/>
          <w:szCs w:val="36"/>
          <w:lang w:val="en-US" w:eastAsia="zh-CN" w:bidi="ar-SA"/>
        </w:rPr>
        <w:t>七、“三公”经费财政拨款预算安排情况说明</w:t>
      </w:r>
      <w:r>
        <w:rPr>
          <w:rFonts w:hint="default" w:ascii="Times New Roman" w:hAnsi="Times New Roman" w:eastAsia="黑体" w:cs="Times New Roman"/>
          <w:sz w:val="16"/>
          <w:szCs w:val="16"/>
        </w:rPr>
        <w:br w:type="textWrapping"/>
      </w:r>
      <w:r>
        <w:rPr>
          <w:rFonts w:hint="default" w:ascii="Times New Roman" w:hAnsi="Times New Roman" w:eastAsia="宋体" w:cs="Times New Roman"/>
          <w:sz w:val="16"/>
        </w:rPr>
        <w:t>　</w:t>
      </w:r>
      <w:r>
        <w:rPr>
          <w:rFonts w:hint="default" w:ascii="Times New Roman" w:hAnsi="Times New Roman" w:cs="Times New Roman"/>
          <w:kern w:val="2"/>
          <w:sz w:val="32"/>
          <w:szCs w:val="32"/>
        </w:rPr>
        <w:t>　 本单位2026年“三公”经费财政拨款预算数286.58万元。其中：公务接待费8.62万元，公务用车购置及运行维护费277.96万元，无因公出国（境）经费。</w:t>
      </w:r>
    </w:p>
    <w:p>
      <w:pPr>
        <w:pStyle w:val="6"/>
        <w:spacing w:before="0" w:line="576" w:lineRule="exact"/>
        <w:ind w:firstLine="481" w:firstLineChars="15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（一）2026年未安排因公出国（境）经费。</w:t>
      </w:r>
      <w:r>
        <w:rPr>
          <w:rFonts w:hint="default" w:ascii="Times New Roman" w:hAnsi="Times New Roman" w:cs="Times New Roman"/>
          <w:kern w:val="2"/>
          <w:sz w:val="32"/>
          <w:szCs w:val="32"/>
        </w:rPr>
        <w:t>未安排因公出国（境）经费。</w:t>
      </w:r>
    </w:p>
    <w:p>
      <w:pPr>
        <w:pStyle w:val="6"/>
        <w:spacing w:before="0" w:line="576" w:lineRule="exact"/>
        <w:ind w:firstLine="481" w:firstLineChars="15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（二）2026年公务接待费8.62万元。</w:t>
      </w:r>
      <w:r>
        <w:rPr>
          <w:rFonts w:hint="default" w:ascii="Times New Roman" w:hAnsi="Times New Roman" w:cs="Times New Roman"/>
          <w:kern w:val="2"/>
          <w:sz w:val="32"/>
          <w:szCs w:val="32"/>
        </w:rPr>
        <w:t>较2025年预算经费8.61万元增加0.01万元，增长0.11%，主要是</w:t>
      </w:r>
      <w:r>
        <w:rPr>
          <w:rFonts w:hint="eastAsia" w:ascii="Times New Roman" w:hAnsi="Times New Roman" w:cs="Times New Roman"/>
          <w:kern w:val="2"/>
          <w:sz w:val="32"/>
          <w:szCs w:val="32"/>
          <w:lang w:eastAsia="zh-CN"/>
        </w:rPr>
        <w:t>批次、</w:t>
      </w:r>
      <w:r>
        <w:rPr>
          <w:rFonts w:hint="default" w:ascii="Times New Roman" w:hAnsi="Times New Roman" w:cs="Times New Roman"/>
          <w:kern w:val="2"/>
          <w:sz w:val="32"/>
          <w:szCs w:val="32"/>
        </w:rPr>
        <w:t>人数较去年有所增加。</w:t>
      </w:r>
    </w:p>
    <w:p>
      <w:pPr>
        <w:pStyle w:val="6"/>
        <w:spacing w:before="0" w:line="576" w:lineRule="exact"/>
        <w:ind w:firstLine="517" w:firstLineChars="161"/>
        <w:rPr>
          <w:rFonts w:hint="default" w:ascii="Times New Roman" w:hAnsi="Times New Roman" w:cs="Times New Roman"/>
          <w:b/>
          <w:kern w:val="2"/>
          <w:sz w:val="32"/>
          <w:szCs w:val="32"/>
        </w:rPr>
      </w:pPr>
      <w:r>
        <w:rPr>
          <w:rFonts w:hint="default" w:ascii="Times New Roman" w:hAnsi="Times New Roman" w:eastAsia="楷体_GB2312" w:cs="Times New Roman"/>
          <w:b/>
          <w:kern w:val="2"/>
          <w:sz w:val="32"/>
          <w:szCs w:val="32"/>
        </w:rPr>
        <w:t>（三）2026年公务用车购置及运行维护费277.96万元。</w:t>
      </w:r>
      <w:r>
        <w:rPr>
          <w:rFonts w:hint="default" w:ascii="Times New Roman" w:hAnsi="Times New Roman" w:cs="Times New Roman"/>
          <w:kern w:val="2"/>
          <w:sz w:val="32"/>
          <w:szCs w:val="32"/>
        </w:rPr>
        <w:t>较2025年预算经费增加41万元，增长17.30%。其中，公务用车购置经费0元，无增减变动；公务用车运行维护费277.96万元，增长17.30%，增加的主要原因是</w:t>
      </w:r>
      <w:r>
        <w:rPr>
          <w:rFonts w:hint="eastAsia" w:ascii="Times New Roman" w:hAnsi="Times New Roman" w:cs="Times New Roman"/>
          <w:kern w:val="2"/>
          <w:sz w:val="32"/>
          <w:szCs w:val="32"/>
          <w:lang w:eastAsia="zh-CN"/>
        </w:rPr>
        <w:t>根据工作需要</w:t>
      </w:r>
      <w:r>
        <w:rPr>
          <w:rFonts w:hint="default" w:ascii="Times New Roman" w:hAnsi="Times New Roman" w:cs="Times New Roman"/>
          <w:kern w:val="2"/>
          <w:sz w:val="32"/>
          <w:szCs w:val="32"/>
        </w:rPr>
        <w:t>新购置执法执勤公务用车。</w:t>
      </w:r>
    </w:p>
    <w:p>
      <w:pPr>
        <w:pStyle w:val="6"/>
        <w:spacing w:before="0" w:line="576" w:lineRule="exact"/>
        <w:ind w:firstLine="579" w:firstLineChars="161"/>
        <w:rPr>
          <w:rFonts w:hint="default" w:ascii="Times New Roman" w:hAnsi="Times New Roman" w:eastAsia="黑体" w:cs="Times New Roman"/>
          <w:b w:val="0"/>
          <w:bCs w:val="0"/>
          <w:kern w:val="2"/>
          <w:sz w:val="36"/>
          <w:szCs w:val="36"/>
          <w:lang w:val="en-US" w:eastAsia="zh-CN" w:bidi="ar-SA"/>
        </w:rPr>
      </w:pPr>
      <w:r>
        <w:rPr>
          <w:rFonts w:hint="default" w:ascii="Times New Roman" w:hAnsi="Times New Roman" w:eastAsia="黑体" w:cs="Times New Roman"/>
          <w:b w:val="0"/>
          <w:bCs w:val="0"/>
          <w:kern w:val="2"/>
          <w:sz w:val="36"/>
          <w:szCs w:val="36"/>
          <w:lang w:val="en-US" w:eastAsia="zh-CN" w:bidi="ar-SA"/>
        </w:rPr>
        <w:t>八、政府性基金预算支出情况说明</w:t>
      </w:r>
    </w:p>
    <w:p>
      <w:pPr>
        <w:pStyle w:val="6"/>
        <w:spacing w:before="0" w:line="576" w:lineRule="exact"/>
        <w:ind w:firstLine="470" w:firstLineChars="147"/>
        <w:rPr>
          <w:rFonts w:hint="default" w:ascii="Times New Roman" w:hAnsi="Times New Roman" w:cs="Times New Roman"/>
          <w:kern w:val="2"/>
          <w:sz w:val="32"/>
          <w:szCs w:val="32"/>
        </w:rPr>
      </w:pPr>
      <w:r>
        <w:rPr>
          <w:rFonts w:hint="default" w:ascii="Times New Roman" w:hAnsi="Times New Roman" w:cs="Times New Roman"/>
          <w:kern w:val="2"/>
          <w:sz w:val="32"/>
          <w:szCs w:val="32"/>
        </w:rPr>
        <w:t>本单位2026年无政府性基金预算拨款安排。上年无无政府性基金预算拨款安排。</w:t>
      </w:r>
    </w:p>
    <w:p>
      <w:pPr>
        <w:pStyle w:val="6"/>
        <w:spacing w:before="0" w:line="576" w:lineRule="exact"/>
        <w:ind w:firstLine="579" w:firstLineChars="161"/>
        <w:rPr>
          <w:rFonts w:hint="default" w:ascii="Times New Roman" w:hAnsi="Times New Roman" w:eastAsia="黑体" w:cs="Times New Roman"/>
          <w:b w:val="0"/>
          <w:bCs w:val="0"/>
          <w:kern w:val="2"/>
          <w:sz w:val="36"/>
          <w:szCs w:val="36"/>
          <w:lang w:val="en-US" w:eastAsia="zh-CN" w:bidi="ar-SA"/>
        </w:rPr>
      </w:pPr>
      <w:r>
        <w:rPr>
          <w:rFonts w:hint="default" w:ascii="Times New Roman" w:hAnsi="Times New Roman" w:eastAsia="黑体" w:cs="Times New Roman"/>
          <w:b w:val="0"/>
          <w:bCs w:val="0"/>
          <w:kern w:val="2"/>
          <w:sz w:val="36"/>
          <w:szCs w:val="36"/>
          <w:lang w:val="en-US" w:eastAsia="zh-CN" w:bidi="ar-SA"/>
        </w:rPr>
        <w:t>九、其他重要事项的情况说明</w:t>
      </w:r>
    </w:p>
    <w:p>
      <w:pPr>
        <w:pStyle w:val="6"/>
        <w:spacing w:before="0" w:line="576" w:lineRule="exact"/>
        <w:ind w:firstLine="642" w:firstLineChars="200"/>
        <w:rPr>
          <w:rFonts w:hint="default" w:ascii="Times New Roman" w:hAnsi="Times New Roman" w:eastAsia="楷体_GB2312" w:cs="Times New Roman"/>
          <w:kern w:val="2"/>
          <w:sz w:val="32"/>
          <w:szCs w:val="32"/>
        </w:rPr>
      </w:pPr>
      <w:r>
        <w:rPr>
          <w:rFonts w:hint="default" w:ascii="Times New Roman" w:hAnsi="Times New Roman" w:eastAsia="楷体_GB2312" w:cs="Times New Roman"/>
          <w:b/>
          <w:kern w:val="2"/>
          <w:sz w:val="32"/>
          <w:szCs w:val="32"/>
        </w:rPr>
        <w:t>（一）机关运行经费</w:t>
      </w:r>
    </w:p>
    <w:p>
      <w:pPr>
        <w:pStyle w:val="6"/>
        <w:spacing w:before="0" w:line="576" w:lineRule="exact"/>
        <w:ind w:firstLine="537" w:firstLineChars="168"/>
        <w:rPr>
          <w:rFonts w:hint="default" w:ascii="Times New Roman" w:hAnsi="Times New Roman" w:cs="Times New Roman"/>
          <w:kern w:val="2"/>
          <w:sz w:val="32"/>
          <w:szCs w:val="32"/>
        </w:rPr>
      </w:pPr>
      <w:r>
        <w:rPr>
          <w:rFonts w:hint="default" w:ascii="Times New Roman" w:hAnsi="Times New Roman" w:cs="Times New Roman"/>
          <w:kern w:val="2"/>
          <w:sz w:val="32"/>
          <w:szCs w:val="32"/>
        </w:rPr>
        <w:t>2026年机关运行经费财政拨款预算为510.06万元，较上年542.40万元减少32.34万元，减少5.96%，主要是因为公用经费逐年压减。</w:t>
      </w:r>
    </w:p>
    <w:p>
      <w:pPr>
        <w:pStyle w:val="6"/>
        <w:spacing w:before="0" w:line="576" w:lineRule="exact"/>
        <w:ind w:firstLine="539" w:firstLineChars="168"/>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2026年安排政府采购预算1243.3万元，资金主要用于辅助性岗位劳务服务项目、阿坝州纪委监委物业管理服务项目、纪检监察办案经费项目、阿坝州监委留置中心运维经费项目和车辆大修项目。</w:t>
      </w:r>
    </w:p>
    <w:p>
      <w:pPr>
        <w:pStyle w:val="6"/>
        <w:spacing w:before="0" w:line="576" w:lineRule="exact"/>
        <w:rPr>
          <w:rFonts w:hint="default" w:ascii="Times New Roman" w:hAnsi="Times New Roman" w:eastAsia="楷体_GB2312" w:cs="Times New Roman"/>
          <w:b/>
          <w:kern w:val="2"/>
          <w:sz w:val="32"/>
          <w:szCs w:val="32"/>
        </w:rPr>
      </w:pPr>
      <w:r>
        <w:rPr>
          <w:rFonts w:hint="default" w:ascii="Times New Roman" w:hAnsi="Times New Roman" w:cs="Times New Roman"/>
          <w:kern w:val="2"/>
          <w:sz w:val="32"/>
          <w:szCs w:val="32"/>
        </w:rPr>
        <w:t xml:space="preserve">　 </w:t>
      </w:r>
      <w:r>
        <w:rPr>
          <w:rFonts w:hint="default" w:ascii="Times New Roman" w:hAnsi="Times New Roman" w:eastAsia="楷体_GB2312" w:cs="Times New Roman"/>
          <w:b/>
          <w:kern w:val="2"/>
          <w:sz w:val="32"/>
          <w:szCs w:val="32"/>
        </w:rPr>
        <w:t>（三）国有资产占有使用情况</w:t>
      </w:r>
    </w:p>
    <w:p>
      <w:pPr>
        <w:pStyle w:val="6"/>
        <w:spacing w:before="0" w:line="576" w:lineRule="exact"/>
        <w:ind w:firstLine="480" w:firstLineChars="150"/>
        <w:rPr>
          <w:rFonts w:hint="default" w:ascii="Times New Roman" w:hAnsi="Times New Roman" w:cs="Times New Roman"/>
          <w:kern w:val="2"/>
          <w:sz w:val="32"/>
          <w:szCs w:val="32"/>
        </w:rPr>
      </w:pPr>
      <w:r>
        <w:rPr>
          <w:rFonts w:hint="default" w:ascii="Times New Roman" w:hAnsi="Times New Roman" w:cs="Times New Roman"/>
          <w:kern w:val="2"/>
          <w:sz w:val="32"/>
          <w:szCs w:val="32"/>
        </w:rPr>
        <w:t>截至2025年12月31日，我单位固定资产总额为5829.73万元，其中房屋及构筑物1403.96万元，占24.08%；设备3374.48万元，占57.88%；家具和用具1051.29万元，占18.03%。</w:t>
      </w:r>
    </w:p>
    <w:p>
      <w:pPr>
        <w:pStyle w:val="6"/>
        <w:spacing w:before="0" w:line="576" w:lineRule="exact"/>
        <w:ind w:firstLine="481" w:firstLineChars="150"/>
        <w:rPr>
          <w:rFonts w:hint="default" w:ascii="Times New Roman" w:hAnsi="Times New Roman" w:cs="Times New Roman"/>
          <w:kern w:val="2"/>
          <w:sz w:val="32"/>
          <w:szCs w:val="32"/>
        </w:rPr>
      </w:pPr>
      <w:r>
        <w:rPr>
          <w:rFonts w:hint="default" w:ascii="Times New Roman" w:hAnsi="Times New Roman" w:eastAsia="楷体_GB2312" w:cs="Times New Roman"/>
          <w:b/>
          <w:kern w:val="2"/>
          <w:sz w:val="32"/>
          <w:szCs w:val="32"/>
        </w:rPr>
        <w:t>（四）绩效目标设置情况</w:t>
      </w:r>
      <w:r>
        <w:rPr>
          <w:rFonts w:hint="default" w:ascii="Times New Roman" w:hAnsi="Times New Roman" w:eastAsia="楷体_GB2312" w:cs="Times New Roman"/>
          <w:b/>
          <w:kern w:val="2"/>
          <w:sz w:val="32"/>
          <w:szCs w:val="32"/>
        </w:rPr>
        <w:br w:type="textWrapping"/>
      </w:r>
      <w:r>
        <w:rPr>
          <w:rFonts w:hint="default" w:ascii="Times New Roman" w:hAnsi="Times New Roman" w:cs="Times New Roman"/>
          <w:kern w:val="2"/>
          <w:sz w:val="32"/>
          <w:szCs w:val="32"/>
        </w:rPr>
        <w:t>　 2026年州纪委监委部门通用项目和专用项目均按要求实行绩效目标管理，涉及一般公共预算当年拨款16613.98万元。</w:t>
      </w:r>
      <w:r>
        <w:rPr>
          <w:rFonts w:hint="default" w:ascii="Times New Roman" w:hAnsi="Times New Roman" w:cs="Times New Roman"/>
          <w:kern w:val="2"/>
          <w:sz w:val="32"/>
          <w:szCs w:val="32"/>
        </w:rPr>
        <w:br w:type="textWrapping"/>
      </w:r>
      <w:r>
        <w:rPr>
          <w:rFonts w:hint="default" w:ascii="Times New Roman" w:hAnsi="Times New Roman" w:eastAsia="黑体" w:cs="Times New Roman"/>
          <w:b w:val="0"/>
          <w:bCs w:val="0"/>
          <w:kern w:val="2"/>
          <w:sz w:val="36"/>
          <w:szCs w:val="36"/>
          <w:lang w:val="en-US" w:eastAsia="zh-CN" w:bidi="ar-SA"/>
        </w:rPr>
        <w:t>　　十、名词解释</w:t>
      </w:r>
      <w:r>
        <w:rPr>
          <w:rFonts w:hint="default" w:ascii="Times New Roman" w:hAnsi="Times New Roman" w:eastAsia="宋体" w:cs="Times New Roman"/>
          <w:sz w:val="16"/>
          <w:szCs w:val="16"/>
        </w:rPr>
        <w:br w:type="textWrapping"/>
      </w:r>
      <w:r>
        <w:rPr>
          <w:rFonts w:hint="default" w:ascii="Times New Roman" w:hAnsi="Times New Roman" w:cs="Times New Roman"/>
          <w:kern w:val="2"/>
          <w:sz w:val="32"/>
          <w:szCs w:val="32"/>
        </w:rPr>
        <w:t>　　</w:t>
      </w:r>
      <w:r>
        <w:rPr>
          <w:rFonts w:hint="default" w:ascii="Times New Roman" w:hAnsi="Times New Roman" w:eastAsia="楷体_GB2312" w:cs="Times New Roman"/>
          <w:b/>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（二）事业收入：</w:t>
      </w:r>
      <w:r>
        <w:rPr>
          <w:rFonts w:hint="default" w:ascii="Times New Roman" w:hAnsi="Times New Roman" w:eastAsia="仿宋_GB2312" w:cs="Times New Roman"/>
          <w:sz w:val="32"/>
          <w:szCs w:val="32"/>
        </w:rPr>
        <w:t>指所属事业单位开展专业业务活动及辅助活动所取得的收入。</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（三）事业单位经营收入：</w:t>
      </w:r>
      <w:r>
        <w:rPr>
          <w:rFonts w:hint="default" w:ascii="Times New Roman" w:hAnsi="Times New Roman" w:eastAsia="仿宋_GB2312" w:cs="Times New Roman"/>
          <w:sz w:val="32"/>
          <w:szCs w:val="32"/>
        </w:rPr>
        <w:t>指所属事业单位在专业业务活动及其辅助活动之外开展非独立核算经营活动取得的收入。</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（四）其他收入：</w:t>
      </w:r>
      <w:r>
        <w:rPr>
          <w:rFonts w:hint="default" w:ascii="Times New Roman" w:hAnsi="Times New Roman" w:eastAsia="仿宋_GB2312" w:cs="Times New Roman"/>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（五）用事业基金弥补收支差额：</w:t>
      </w:r>
      <w:r>
        <w:rPr>
          <w:rFonts w:hint="default" w:ascii="Times New Roman" w:hAnsi="Times New Roman" w:eastAsia="仿宋_GB2312" w:cs="Times New Roman"/>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（六）上年结转：</w:t>
      </w:r>
      <w:r>
        <w:rPr>
          <w:rFonts w:hint="default" w:ascii="Times New Roman" w:hAnsi="Times New Roman" w:eastAsia="仿宋_GB2312" w:cs="Times New Roman"/>
          <w:sz w:val="32"/>
          <w:szCs w:val="32"/>
        </w:rPr>
        <w:t>指所属行政事业单位以前年度尚未完成、结转至本年按原规定用途继续使用的资金和以前年度已完。</w:t>
      </w:r>
    </w:p>
    <w:p>
      <w:pPr>
        <w:spacing w:line="576" w:lineRule="exact"/>
        <w:ind w:firstLine="640" w:firstLineChars="200"/>
        <w:rPr>
          <w:rFonts w:hint="default" w:ascii="Times New Roman" w:hAnsi="Times New Roman" w:eastAsia="仿宋_GB2312" w:cs="Times New Roman"/>
          <w:sz w:val="32"/>
          <w:szCs w:val="32"/>
        </w:rPr>
      </w:pPr>
    </w:p>
    <w:p>
      <w:pPr>
        <w:spacing w:line="576" w:lineRule="exact"/>
        <w:ind w:firstLine="640" w:firstLineChars="200"/>
        <w:rPr>
          <w:rFonts w:hint="default" w:ascii="Times New Roman" w:hAnsi="Times New Roman" w:eastAsia="仿宋_GB2312" w:cs="Times New Roman"/>
          <w:sz w:val="32"/>
          <w:szCs w:val="32"/>
        </w:rPr>
      </w:pPr>
    </w:p>
    <w:p>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中共阿坝州纪委办公室</w:t>
      </w:r>
    </w:p>
    <w:p>
      <w:pPr>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2026年2月</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日</w:t>
      </w:r>
    </w:p>
    <w:p>
      <w:pPr>
        <w:rPr>
          <w:rFonts w:hint="default" w:ascii="Times New Roman" w:hAnsi="Times New Roman" w:cs="Times New Roman"/>
        </w:rPr>
      </w:pPr>
      <w:bookmarkStart w:id="1" w:name="_GoBack"/>
      <w:bookmarkEnd w:id="1"/>
    </w:p>
    <w:sectPr>
      <w:footerReference r:id="rId3" w:type="default"/>
      <w:footerReference r:id="rId4" w:type="even"/>
      <w:pgSz w:w="11906" w:h="16838"/>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- 8 -</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 xml:space="preserve"> </w: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AFA039"/>
    <w:rsid w:val="3FF5E007"/>
    <w:rsid w:val="47BE740E"/>
    <w:rsid w:val="57D760A5"/>
    <w:rsid w:val="79EA6204"/>
    <w:rsid w:val="7D469FE7"/>
    <w:rsid w:val="7D5D0AE9"/>
    <w:rsid w:val="7EAFA039"/>
    <w:rsid w:val="7FFD5951"/>
    <w:rsid w:val="EBCB3A4E"/>
    <w:rsid w:val="F55E1A80"/>
    <w:rsid w:val="FD7B536D"/>
    <w:rsid w:val="FFB5A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rPr>
      <w:rFonts w:cs="Times New Roman"/>
    </w:rPr>
  </w:style>
  <w:style w:type="paragraph" w:customStyle="1" w:styleId="6">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2026-02-11T23:02:00Z</dcterms:created>
  <dc:creator>拉吉措</dc:creator>
  <cp:lastModifiedBy>user</cp:lastModifiedBy>
  <dcterms:modified xsi:type="dcterms:W3CDTF">2026-03-04T15:57:13Z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4E77CAC96392AE6DD9E5A769D39B2FB6</vt:lpwstr>
  </property>
</Properties>
</file>