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方正小标宋简体" w:cs="Times New Roman"/>
          <w:sz w:val="44"/>
          <w:szCs w:val="44"/>
        </w:rPr>
      </w:pPr>
      <w:bookmarkStart w:id="3" w:name="_GoBack"/>
      <w:r>
        <w:rPr>
          <w:rFonts w:hint="default" w:ascii="Times New Roman" w:hAnsi="Times New Roman" w:eastAsia="方正小标宋简体" w:cs="Times New Roman"/>
          <w:sz w:val="44"/>
          <w:szCs w:val="44"/>
        </w:rPr>
        <w:t>阿坝州纪委监委2024年部门预算</w:t>
      </w:r>
      <w:bookmarkEnd w:id="3"/>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2560" w:firstLineChars="800"/>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2024年2月2日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目 录</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（一）部门职能简介</w:t>
      </w:r>
    </w:p>
    <w:p>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（二）2024年重点工作</w:t>
      </w:r>
    </w:p>
    <w:p>
      <w:pP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二、</w:t>
      </w:r>
      <w:r>
        <w:rPr>
          <w:rFonts w:hint="default" w:ascii="Times New Roman" w:hAnsi="Times New Roman" w:eastAsia="黑体" w:cs="Times New Roman"/>
          <w:sz w:val="32"/>
          <w:szCs w:val="32"/>
        </w:rPr>
        <w:t>部门预算单位构成</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（一）收入预算情况</w:t>
      </w:r>
    </w:p>
    <w:p>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（二）支出预算情况</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楷体_GB2312" w:cs="Times New Roman"/>
          <w:sz w:val="32"/>
          <w:szCs w:val="32"/>
        </w:rPr>
        <w:t>（一）一般公共预算当年拨款规模变化情况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（二）一般公共预算当年拨款结构情况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rPr>
          <w:rFonts w:hint="default" w:ascii="Times New Roman" w:hAnsi="Times New Roman" w:eastAsia="黑体" w:cs="Times New Roman"/>
          <w:sz w:val="32"/>
          <w:szCs w:val="32"/>
        </w:rPr>
      </w:pPr>
    </w:p>
    <w:p>
      <w:pPr>
        <w:spacing w:line="576" w:lineRule="exact"/>
        <w:jc w:val="center"/>
        <w:rPr>
          <w:rFonts w:hint="default" w:ascii="Times New Roman" w:hAnsi="Times New Roman" w:eastAsia="方正小标宋简体" w:cs="Times New Roman"/>
          <w:sz w:val="44"/>
          <w:szCs w:val="44"/>
        </w:rPr>
      </w:pPr>
    </w:p>
    <w:p>
      <w:pPr>
        <w:spacing w:line="576" w:lineRule="exact"/>
        <w:jc w:val="center"/>
        <w:rPr>
          <w:rFonts w:hint="default" w:ascii="Times New Roman" w:hAnsi="Times New Roman" w:eastAsia="方正小标宋简体" w:cs="Times New Roman"/>
          <w:sz w:val="44"/>
          <w:szCs w:val="44"/>
        </w:rPr>
      </w:pPr>
    </w:p>
    <w:p>
      <w:pPr>
        <w:spacing w:line="576"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阿坝州纪委监委</w:t>
      </w:r>
    </w:p>
    <w:p>
      <w:pPr>
        <w:spacing w:line="576"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2024年度部门预算说明</w:t>
      </w:r>
    </w:p>
    <w:p>
      <w:pPr>
        <w:spacing w:line="576" w:lineRule="exact"/>
        <w:ind w:firstLine="722" w:firstLineChars="200"/>
        <w:rPr>
          <w:rFonts w:hint="default" w:ascii="Times New Roman" w:hAnsi="Times New Roman" w:eastAsia="黑体" w:cs="Times New Roman"/>
          <w:b/>
          <w:bCs/>
          <w:sz w:val="36"/>
          <w:szCs w:val="36"/>
        </w:rPr>
      </w:pPr>
    </w:p>
    <w:p>
      <w:pPr>
        <w:spacing w:line="576" w:lineRule="exact"/>
        <w:ind w:firstLine="722" w:firstLineChars="200"/>
        <w:rPr>
          <w:rFonts w:hint="default" w:ascii="Times New Roman" w:hAnsi="Times New Roman" w:eastAsia="方正小标宋简体" w:cs="Times New Roman"/>
          <w:sz w:val="44"/>
          <w:szCs w:val="44"/>
        </w:rPr>
      </w:pPr>
      <w:r>
        <w:rPr>
          <w:rFonts w:hint="default" w:ascii="Times New Roman" w:hAnsi="Times New Roman" w:eastAsia="黑体" w:cs="Times New Roman"/>
          <w:b/>
          <w:bCs/>
          <w:sz w:val="36"/>
          <w:szCs w:val="36"/>
        </w:rPr>
        <w:t>一、基本职能及主要工作</w:t>
      </w:r>
    </w:p>
    <w:p>
      <w:pPr>
        <w:spacing w:line="576" w:lineRule="exact"/>
        <w:ind w:firstLine="642" w:firstLineChars="200"/>
        <w:rPr>
          <w:rFonts w:hint="default" w:ascii="Times New Roman" w:hAnsi="Times New Roman" w:eastAsia="楷体_GB2312" w:cs="Times New Roman"/>
          <w:sz w:val="44"/>
          <w:szCs w:val="44"/>
        </w:rPr>
      </w:pPr>
      <w:r>
        <w:rPr>
          <w:rFonts w:hint="default" w:ascii="Times New Roman" w:hAnsi="Times New Roman" w:eastAsia="楷体_GB2312" w:cs="Times New Roman"/>
          <w:b/>
          <w:sz w:val="32"/>
          <w:szCs w:val="32"/>
        </w:rPr>
        <w:t>（一）职能简介</w:t>
      </w:r>
    </w:p>
    <w:p>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中共阿坝州纪律检查委员会与阿坝州监察委员会合署办公，实行一套工作机构，两个机关名称，履行纪检、监察两项职能。在四川省纪委监委和中共阿坝州委双重领导下开展工作。</w:t>
      </w:r>
    </w:p>
    <w:p>
      <w:pPr>
        <w:widowControl/>
        <w:spacing w:line="576" w:lineRule="exact"/>
        <w:ind w:firstLine="642" w:firstLineChars="200"/>
        <w:jc w:val="left"/>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（二）2024年重点工作</w:t>
      </w:r>
    </w:p>
    <w:p>
      <w:pPr>
        <w:widowControl/>
        <w:spacing w:line="576" w:lineRule="exact"/>
        <w:ind w:firstLine="640" w:firstLineChars="200"/>
        <w:jc w:val="left"/>
        <w:rPr>
          <w:rFonts w:hint="default" w:ascii="Times New Roman" w:hAnsi="Times New Roman" w:eastAsia="仿宋_GB2312" w:cs="Times New Roman"/>
          <w:b/>
          <w:sz w:val="32"/>
          <w:szCs w:val="32"/>
        </w:rPr>
      </w:pPr>
      <w:r>
        <w:rPr>
          <w:rFonts w:hint="default" w:ascii="Times New Roman" w:hAnsi="Times New Roman" w:eastAsia="仿宋_GB2312" w:cs="Times New Roman"/>
          <w:bCs/>
          <w:sz w:val="32"/>
          <w:szCs w:val="32"/>
        </w:rPr>
        <w:t>2024年全州纪检监察工作的总体要求是：一是锚定凝心铸魂拓展主题教育成果，二是锚定维护核心做深做实政治监督，三是锚定标本兼治一体推进“三不腐”，四是锚定正本清源深入纠治作风顽疾，五是锚定知止后定全面加强纪律建设，六是锚定利剑高悬纵深推进政治巡查察，七是锚定赋能增效持续完善制度机制，八是锚定百炼成钢淬火锻炼高原铁军。</w:t>
      </w:r>
    </w:p>
    <w:p>
      <w:pPr>
        <w:spacing w:line="576" w:lineRule="exact"/>
        <w:ind w:firstLine="722" w:firstLineChars="200"/>
        <w:rPr>
          <w:rFonts w:hint="default" w:ascii="Times New Roman" w:hAnsi="Times New Roman" w:eastAsia="黑体" w:cs="Times New Roman"/>
          <w:b/>
          <w:bCs/>
          <w:sz w:val="36"/>
          <w:szCs w:val="36"/>
        </w:rPr>
      </w:pPr>
      <w:r>
        <w:rPr>
          <w:rFonts w:hint="default" w:ascii="Times New Roman" w:hAnsi="Times New Roman" w:eastAsia="黑体" w:cs="Times New Roman"/>
          <w:b/>
          <w:bCs/>
          <w:sz w:val="36"/>
          <w:szCs w:val="36"/>
        </w:rPr>
        <w:t>二、部门预算单位构成</w:t>
      </w:r>
    </w:p>
    <w:p>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州纪委监委为一级预算单位，下属二级预算单位3个，其中行政单位1个，其他事业单位2个。主要包括：中共阿坝州纪律检查委员会，阿坝州廉政教育中心（阿坝州监察委员会留置中心），中共阿坝州纪委电子监察技术中心。</w:t>
      </w:r>
    </w:p>
    <w:p>
      <w:pPr>
        <w:spacing w:line="576" w:lineRule="exact"/>
        <w:ind w:firstLine="531" w:firstLineChars="147"/>
        <w:rPr>
          <w:rFonts w:hint="default" w:ascii="Times New Roman" w:hAnsi="Times New Roman" w:eastAsia="黑体" w:cs="Times New Roman"/>
          <w:b/>
          <w:bCs/>
          <w:sz w:val="36"/>
          <w:szCs w:val="36"/>
        </w:rPr>
      </w:pPr>
      <w:r>
        <w:rPr>
          <w:rFonts w:hint="default" w:ascii="Times New Roman" w:hAnsi="Times New Roman" w:eastAsia="黑体" w:cs="Times New Roman"/>
          <w:b/>
          <w:bCs/>
          <w:sz w:val="36"/>
          <w:szCs w:val="36"/>
        </w:rPr>
        <w:t>三、收支预算情况说明</w:t>
      </w:r>
    </w:p>
    <w:p>
      <w:pPr>
        <w:pStyle w:val="11"/>
        <w:spacing w:before="0" w:line="576" w:lineRule="exact"/>
        <w:ind w:firstLine="495"/>
        <w:rPr>
          <w:rFonts w:hint="default" w:ascii="Times New Roman" w:hAnsi="Times New Roman" w:cs="Times New Roman"/>
          <w:color w:val="000000"/>
          <w:kern w:val="2"/>
          <w:sz w:val="32"/>
          <w:szCs w:val="32"/>
        </w:rPr>
      </w:pPr>
      <w:r>
        <w:rPr>
          <w:rFonts w:hint="default" w:ascii="Times New Roman" w:hAnsi="Times New Roman" w:cs="Times New Roman"/>
          <w:color w:val="000000"/>
          <w:kern w:val="2"/>
          <w:sz w:val="32"/>
          <w:szCs w:val="32"/>
        </w:rPr>
        <w:t>按照综合预算的原则，本单位所有收入和支出均纳入部门预算管理。收入包括：一般公共预算拨款收入</w:t>
      </w:r>
      <w:bookmarkStart w:id="0" w:name="_Hlk157849753"/>
      <w:r>
        <w:rPr>
          <w:rFonts w:hint="default" w:ascii="Times New Roman" w:hAnsi="Times New Roman" w:cs="Times New Roman"/>
          <w:color w:val="000000"/>
          <w:kern w:val="2"/>
          <w:sz w:val="32"/>
          <w:szCs w:val="32"/>
        </w:rPr>
        <w:t>11675.85</w:t>
      </w:r>
      <w:bookmarkEnd w:id="0"/>
      <w:r>
        <w:rPr>
          <w:rFonts w:hint="default" w:ascii="Times New Roman" w:hAnsi="Times New Roman" w:cs="Times New Roman"/>
          <w:color w:val="000000"/>
          <w:kern w:val="2"/>
          <w:sz w:val="32"/>
          <w:szCs w:val="32"/>
        </w:rPr>
        <w:t>万元，事业收入0万元，其他收入0万元，上年结转0万元；支出包括：一般公共服务支出10727.17万元，教育支出0万元，文化体育与传媒支出0万元，社会保障和就业支出508.78万元，卫生健康支出186.42万元，住房保障支出253.48万元。州纪委监委2024年收支总预算11675.85万元，比2023年收支预算总数5714.12万元增加5961.73万元，主要是新留置中心建设项目纳入年初预算。</w:t>
      </w:r>
    </w:p>
    <w:p>
      <w:pPr>
        <w:pStyle w:val="11"/>
        <w:spacing w:before="0" w:line="576" w:lineRule="exact"/>
        <w:ind w:firstLine="495"/>
        <w:rPr>
          <w:rFonts w:hint="default" w:ascii="Times New Roman" w:hAnsi="Times New Roman" w:eastAsia="楷体_GB2312" w:cs="Times New Roman"/>
          <w:sz w:val="16"/>
          <w:szCs w:val="16"/>
        </w:rPr>
      </w:pPr>
      <w:r>
        <w:rPr>
          <w:rFonts w:hint="default" w:ascii="Times New Roman" w:hAnsi="Times New Roman" w:eastAsia="楷体_GB2312" w:cs="Times New Roman"/>
          <w:b/>
          <w:kern w:val="2"/>
          <w:sz w:val="32"/>
          <w:szCs w:val="32"/>
        </w:rPr>
        <w:t>（一）收入预算情况</w:t>
      </w:r>
    </w:p>
    <w:p>
      <w:pPr>
        <w:pStyle w:val="11"/>
        <w:spacing w:before="0" w:line="576" w:lineRule="exact"/>
        <w:ind w:firstLine="495"/>
        <w:rPr>
          <w:rFonts w:hint="default" w:ascii="Times New Roman" w:hAnsi="Times New Roman" w:cs="Times New Roman"/>
          <w:color w:val="000000"/>
          <w:kern w:val="2"/>
          <w:sz w:val="32"/>
          <w:szCs w:val="32"/>
        </w:rPr>
      </w:pPr>
      <w:r>
        <w:rPr>
          <w:rFonts w:hint="default" w:ascii="Times New Roman" w:hAnsi="Times New Roman" w:cs="Times New Roman"/>
          <w:color w:val="000000"/>
          <w:kern w:val="2"/>
          <w:sz w:val="32"/>
          <w:szCs w:val="32"/>
        </w:rPr>
        <w:t>本单位2024年收入预算11675.85万元，其中：一般公共预算拨款收入11675.85万元，占100%；无事业收入、其他收入预算。</w:t>
      </w:r>
    </w:p>
    <w:p>
      <w:pPr>
        <w:pStyle w:val="11"/>
        <w:spacing w:before="0" w:line="576" w:lineRule="exact"/>
        <w:ind w:firstLine="495"/>
        <w:rPr>
          <w:rFonts w:hint="default" w:ascii="Times New Roman" w:hAnsi="Times New Roman" w:eastAsia="楷体_GB2312" w:cs="Times New Roman"/>
          <w:sz w:val="16"/>
          <w:szCs w:val="16"/>
        </w:rPr>
      </w:pPr>
      <w:r>
        <w:rPr>
          <w:rFonts w:hint="default" w:ascii="Times New Roman" w:hAnsi="Times New Roman" w:eastAsia="楷体_GB2312" w:cs="Times New Roman"/>
          <w:b/>
          <w:kern w:val="2"/>
          <w:sz w:val="32"/>
          <w:szCs w:val="32"/>
        </w:rPr>
        <w:t>（二）支出预算情况</w:t>
      </w:r>
    </w:p>
    <w:p>
      <w:pPr>
        <w:pStyle w:val="11"/>
        <w:spacing w:before="0" w:line="576" w:lineRule="exact"/>
        <w:ind w:firstLine="495"/>
        <w:rPr>
          <w:rFonts w:hint="default" w:ascii="Times New Roman" w:hAnsi="Times New Roman" w:cs="Times New Roman"/>
          <w:color w:val="000000"/>
          <w:kern w:val="2"/>
          <w:sz w:val="32"/>
          <w:szCs w:val="32"/>
        </w:rPr>
      </w:pPr>
      <w:r>
        <w:rPr>
          <w:rFonts w:hint="default" w:ascii="Times New Roman" w:hAnsi="Times New Roman" w:cs="Times New Roman"/>
          <w:color w:val="000000"/>
          <w:kern w:val="2"/>
          <w:sz w:val="32"/>
          <w:szCs w:val="32"/>
        </w:rPr>
        <w:t>本单位2024年支出预算11675.85万元，其中：基本支出3787.85万元，占32.44%；项目支出7315.6万元，占67.56%。</w:t>
      </w:r>
    </w:p>
    <w:p>
      <w:pPr>
        <w:pStyle w:val="11"/>
        <w:spacing w:before="0" w:line="576" w:lineRule="exact"/>
        <w:ind w:firstLine="495"/>
        <w:rPr>
          <w:rFonts w:hint="default" w:ascii="Times New Roman" w:hAnsi="Times New Roman" w:eastAsia="宋体" w:cs="Times New Roman"/>
          <w:sz w:val="28"/>
          <w:szCs w:val="28"/>
        </w:rPr>
      </w:pPr>
      <w:r>
        <w:rPr>
          <w:rFonts w:hint="default" w:ascii="Times New Roman" w:hAnsi="Times New Roman" w:eastAsia="黑体" w:cs="Times New Roman"/>
          <w:b/>
          <w:bCs/>
          <w:kern w:val="2"/>
          <w:sz w:val="36"/>
          <w:szCs w:val="36"/>
        </w:rPr>
        <w:t>四、财政拨款收支预算情况说明</w:t>
      </w:r>
    </w:p>
    <w:p>
      <w:pPr>
        <w:pStyle w:val="11"/>
        <w:spacing w:before="0" w:line="576" w:lineRule="exact"/>
        <w:ind w:firstLine="495"/>
        <w:rPr>
          <w:rFonts w:hint="default" w:ascii="Times New Roman" w:hAnsi="Times New Roman" w:cs="Times New Roman"/>
          <w:color w:val="000000"/>
          <w:kern w:val="2"/>
          <w:sz w:val="32"/>
          <w:szCs w:val="32"/>
        </w:rPr>
      </w:pPr>
      <w:r>
        <w:rPr>
          <w:rFonts w:hint="default" w:ascii="Times New Roman" w:hAnsi="Times New Roman" w:cs="Times New Roman"/>
          <w:color w:val="000000"/>
          <w:kern w:val="2"/>
          <w:sz w:val="32"/>
          <w:szCs w:val="32"/>
        </w:rPr>
        <w:t>本单位2024年财政拨款收支总预算11675.85万元, 比2023年收支预算总数增加5961.73万元，主要是新留置中心建设项目纳入年初预算。收入包括：本年一般公共预算拨款收入11675.85万元。支出包括：一般公共服务支出10727.17万元，教育支出0万元，文化体育与传媒支出0万元，社会保障和就业支出508.78万元，卫生健康支出186.42万元，住房保障支出253.48万元。</w:t>
      </w:r>
    </w:p>
    <w:p>
      <w:pPr>
        <w:pStyle w:val="11"/>
        <w:spacing w:before="0" w:line="576" w:lineRule="exact"/>
        <w:ind w:firstLine="495"/>
        <w:rPr>
          <w:rFonts w:hint="default" w:ascii="Times New Roman" w:hAnsi="Times New Roman" w:eastAsia="宋体" w:cs="Times New Roman"/>
          <w:sz w:val="16"/>
          <w:szCs w:val="16"/>
        </w:rPr>
      </w:pPr>
      <w:r>
        <w:rPr>
          <w:rFonts w:hint="default" w:ascii="Times New Roman" w:hAnsi="Times New Roman" w:eastAsia="黑体" w:cs="Times New Roman"/>
          <w:b/>
          <w:bCs/>
          <w:kern w:val="2"/>
          <w:sz w:val="36"/>
          <w:szCs w:val="36"/>
        </w:rPr>
        <w:t>五、一般公共预算当年拨款情况说明</w:t>
      </w:r>
    </w:p>
    <w:p>
      <w:pPr>
        <w:pStyle w:val="11"/>
        <w:spacing w:before="0" w:line="576" w:lineRule="exact"/>
        <w:ind w:firstLine="495"/>
        <w:rPr>
          <w:rFonts w:hint="default" w:ascii="Times New Roman" w:hAnsi="Times New Roman" w:eastAsia="楷体_GB2312" w:cs="Times New Roman"/>
          <w:sz w:val="16"/>
          <w:szCs w:val="16"/>
        </w:rPr>
      </w:pPr>
      <w:r>
        <w:rPr>
          <w:rFonts w:hint="default" w:ascii="Times New Roman" w:hAnsi="Times New Roman" w:eastAsia="楷体_GB2312" w:cs="Times New Roman"/>
          <w:b/>
          <w:kern w:val="2"/>
          <w:sz w:val="32"/>
          <w:szCs w:val="32"/>
        </w:rPr>
        <w:t>（一）一般公共预算当年拨款规模变化情况</w:t>
      </w:r>
    </w:p>
    <w:p>
      <w:pPr>
        <w:pStyle w:val="11"/>
        <w:spacing w:before="0" w:line="576" w:lineRule="exact"/>
        <w:ind w:firstLine="495"/>
        <w:rPr>
          <w:rFonts w:hint="default" w:ascii="Times New Roman" w:hAnsi="Times New Roman" w:cs="Times New Roman"/>
          <w:color w:val="000000"/>
          <w:kern w:val="2"/>
          <w:sz w:val="32"/>
          <w:szCs w:val="32"/>
        </w:rPr>
      </w:pPr>
      <w:r>
        <w:rPr>
          <w:rFonts w:hint="default" w:ascii="Times New Roman" w:hAnsi="Times New Roman" w:cs="Times New Roman"/>
          <w:color w:val="000000"/>
          <w:kern w:val="2"/>
          <w:sz w:val="32"/>
          <w:szCs w:val="32"/>
        </w:rPr>
        <w:t>本单位2024年一般公共预算当年拨款11675.85万元，比2023年收支预算总数增加5961.73万元，增加104%，主要是新留置中心建设项目纳入年初预算。</w:t>
      </w:r>
    </w:p>
    <w:p>
      <w:pPr>
        <w:pStyle w:val="11"/>
        <w:spacing w:before="0" w:line="576" w:lineRule="exact"/>
        <w:ind w:firstLine="495"/>
        <w:rPr>
          <w:rFonts w:hint="default" w:ascii="Times New Roman" w:hAnsi="Times New Roman" w:cs="Times New Roman"/>
          <w:color w:val="000000"/>
          <w:kern w:val="2"/>
          <w:sz w:val="32"/>
          <w:szCs w:val="32"/>
        </w:rPr>
      </w:pPr>
      <w:r>
        <w:rPr>
          <w:rFonts w:hint="default" w:ascii="Times New Roman" w:hAnsi="Times New Roman" w:eastAsia="楷体_GB2312" w:cs="Times New Roman"/>
          <w:b/>
          <w:kern w:val="2"/>
          <w:sz w:val="32"/>
          <w:szCs w:val="32"/>
        </w:rPr>
        <w:t>（二）一般公共预算当年拨款结构情况</w:t>
      </w:r>
      <w:r>
        <w:rPr>
          <w:rFonts w:hint="default" w:ascii="Times New Roman" w:hAnsi="Times New Roman" w:eastAsia="宋体" w:cs="Times New Roman"/>
          <w:sz w:val="16"/>
          <w:szCs w:val="16"/>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一般公共服务支出</w:t>
      </w:r>
      <w:bookmarkStart w:id="1" w:name="_Hlk157850406"/>
      <w:r>
        <w:rPr>
          <w:rFonts w:hint="default" w:ascii="Times New Roman" w:hAnsi="Times New Roman" w:cs="Times New Roman"/>
          <w:color w:val="000000"/>
          <w:kern w:val="2"/>
          <w:sz w:val="32"/>
          <w:szCs w:val="32"/>
        </w:rPr>
        <w:t>10727.17</w:t>
      </w:r>
      <w:bookmarkEnd w:id="1"/>
      <w:r>
        <w:rPr>
          <w:rFonts w:hint="default" w:ascii="Times New Roman" w:hAnsi="Times New Roman" w:cs="Times New Roman"/>
          <w:color w:val="000000"/>
          <w:kern w:val="2"/>
          <w:sz w:val="32"/>
          <w:szCs w:val="32"/>
        </w:rPr>
        <w:t>万元，</w:t>
      </w:r>
      <w:r>
        <w:rPr>
          <w:rFonts w:hint="default" w:ascii="Times New Roman" w:hAnsi="Times New Roman" w:cs="Times New Roman"/>
          <w:kern w:val="2"/>
          <w:sz w:val="32"/>
          <w:szCs w:val="32"/>
        </w:rPr>
        <w:t>占91.87%；</w:t>
      </w:r>
      <w:r>
        <w:rPr>
          <w:rFonts w:hint="default" w:ascii="Times New Roman" w:hAnsi="Times New Roman" w:cs="Times New Roman"/>
          <w:color w:val="000000"/>
          <w:kern w:val="2"/>
          <w:sz w:val="32"/>
          <w:szCs w:val="32"/>
        </w:rPr>
        <w:t>社会保障和就业支出508.78万元，</w:t>
      </w:r>
      <w:r>
        <w:rPr>
          <w:rFonts w:hint="default" w:ascii="Times New Roman" w:hAnsi="Times New Roman" w:cs="Times New Roman"/>
          <w:kern w:val="2"/>
          <w:sz w:val="32"/>
          <w:szCs w:val="32"/>
        </w:rPr>
        <w:t>占4.36%</w:t>
      </w:r>
      <w:r>
        <w:rPr>
          <w:rFonts w:hint="default" w:ascii="Times New Roman" w:hAnsi="Times New Roman" w:cs="Times New Roman"/>
          <w:color w:val="000000"/>
          <w:kern w:val="2"/>
          <w:sz w:val="32"/>
          <w:szCs w:val="32"/>
        </w:rPr>
        <w:t>；卫生健康支出186.42万元，</w:t>
      </w:r>
      <w:r>
        <w:rPr>
          <w:rFonts w:hint="default" w:ascii="Times New Roman" w:hAnsi="Times New Roman" w:cs="Times New Roman"/>
          <w:kern w:val="2"/>
          <w:sz w:val="32"/>
          <w:szCs w:val="32"/>
        </w:rPr>
        <w:t>占1.6%；</w:t>
      </w:r>
      <w:r>
        <w:rPr>
          <w:rFonts w:hint="default" w:ascii="Times New Roman" w:hAnsi="Times New Roman" w:cs="Times New Roman"/>
          <w:color w:val="000000"/>
          <w:kern w:val="2"/>
          <w:sz w:val="32"/>
          <w:szCs w:val="32"/>
        </w:rPr>
        <w:t>住房保障支出253.48万元，</w:t>
      </w:r>
      <w:r>
        <w:rPr>
          <w:rFonts w:hint="default" w:ascii="Times New Roman" w:hAnsi="Times New Roman" w:cs="Times New Roman"/>
          <w:kern w:val="2"/>
          <w:sz w:val="32"/>
          <w:szCs w:val="32"/>
        </w:rPr>
        <w:t>占2.17%；</w:t>
      </w:r>
      <w:r>
        <w:rPr>
          <w:rFonts w:hint="default" w:ascii="Times New Roman" w:hAnsi="Times New Roman" w:cs="Times New Roman"/>
          <w:color w:val="000000"/>
          <w:kern w:val="2"/>
          <w:sz w:val="32"/>
          <w:szCs w:val="32"/>
        </w:rPr>
        <w:t>无教育支出、文化体育与传媒支出。</w:t>
      </w:r>
    </w:p>
    <w:p>
      <w:pPr>
        <w:pStyle w:val="11"/>
        <w:spacing w:before="0" w:line="576" w:lineRule="exact"/>
        <w:ind w:firstLine="321" w:firstLineChars="10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（三）一般公共预算当年拨款具体使用情况</w:t>
      </w:r>
      <w:r>
        <w:rPr>
          <w:rFonts w:hint="default" w:ascii="Times New Roman" w:hAnsi="Times New Roman" w:eastAsia="宋体" w:cs="Times New Roman"/>
          <w:sz w:val="16"/>
          <w:szCs w:val="16"/>
        </w:rPr>
        <w:br w:type="textWrapping"/>
      </w:r>
      <w:r>
        <w:rPr>
          <w:rFonts w:hint="default" w:ascii="Times New Roman" w:hAnsi="Times New Roman" w:cs="Times New Roman"/>
          <w:kern w:val="2"/>
          <w:sz w:val="32"/>
          <w:szCs w:val="32"/>
        </w:rPr>
        <w:t>　　1．一般公共服务（类）纪检监察事务（款）行政运行（项目）2024年预算数为2652.83万元，主要用于工资福利支出、日常办公经费、公务用车维护费等。</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2.</w:t>
      </w:r>
      <w:bookmarkStart w:id="2" w:name="_Hlk157850901"/>
      <w:r>
        <w:rPr>
          <w:rFonts w:hint="default" w:ascii="Times New Roman" w:hAnsi="Times New Roman" w:cs="Times New Roman"/>
          <w:kern w:val="2"/>
          <w:sz w:val="32"/>
          <w:szCs w:val="32"/>
        </w:rPr>
        <w:t>一般公共服务（类）纪检监察事务（款）一般行政管理事务（项目）2024年预算数为4412.6万元，主要用于行政单位（包括实行公务员管理的事业单位）未单独设置项级科目的其他项目支出。</w:t>
      </w:r>
    </w:p>
    <w:bookmarkEnd w:id="2"/>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3. 一般公共服务（类）纪检监察事务（款）机关服务（项目）2024年预算数为300万元，主要用于其他事业单位的其他项目支出。</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4. 一般公共服务（类）纪检监察事务（款）大案要案查处（项目）2024年预算数为1000万元，主要用于查处专案专项业务支出。</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5. 一般公共服务（类）纪检监察事务（款）派驻派出机构（项目）2024年预算数为70万元，主要用于派驻纪检组专项业务支出。</w:t>
      </w:r>
    </w:p>
    <w:p>
      <w:pPr>
        <w:pStyle w:val="11"/>
        <w:spacing w:before="0" w:line="576" w:lineRule="exact"/>
        <w:ind w:firstLine="652" w:firstLineChars="204"/>
        <w:rPr>
          <w:rFonts w:hint="default" w:ascii="Times New Roman" w:hAnsi="Times New Roman" w:cs="Times New Roman"/>
          <w:kern w:val="2"/>
          <w:sz w:val="32"/>
          <w:szCs w:val="32"/>
        </w:rPr>
      </w:pPr>
      <w:r>
        <w:rPr>
          <w:rFonts w:hint="default" w:ascii="Times New Roman" w:hAnsi="Times New Roman" w:cs="Times New Roman"/>
          <w:kern w:val="2"/>
          <w:sz w:val="32"/>
          <w:szCs w:val="32"/>
        </w:rPr>
        <w:t>6．一般公共服务（类）纪检监察事务（款）事业运行（项目）2024年预算数为186.35万元，主要用于事业编制人员公用经费及人员经费。</w:t>
      </w:r>
    </w:p>
    <w:p>
      <w:pPr>
        <w:pStyle w:val="11"/>
        <w:spacing w:before="0" w:line="576" w:lineRule="exact"/>
        <w:ind w:firstLine="320" w:firstLineChars="100"/>
        <w:rPr>
          <w:rFonts w:hint="default" w:ascii="Times New Roman" w:hAnsi="Times New Roman" w:cs="Times New Roman"/>
          <w:kern w:val="2"/>
          <w:sz w:val="32"/>
          <w:szCs w:val="32"/>
        </w:rPr>
      </w:pPr>
      <w:r>
        <w:rPr>
          <w:rFonts w:hint="default" w:ascii="Times New Roman" w:hAnsi="Times New Roman" w:cs="Times New Roman"/>
          <w:kern w:val="2"/>
          <w:sz w:val="32"/>
          <w:szCs w:val="32"/>
        </w:rPr>
        <w:t>　7．社会保障和就业支出（类）行政单位离退费（款）机关事业单位基本养老保险缴费支出（项目），2024年预算数为339.19万元，主要用于为职工缴纳养老保险。</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8. 社会保障和就业支出（类）行政单位离退费（款）机关事业单位职业年金缴费支出（项目），2024年预算数为169.6万元，主要用于为职工缴纳职业年金。</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9. 卫生健康支出（类）行政事业单位医疗（款）行政单位医疗（项目），2024年预算数为137.32万元，主要用于为职工缴纳医疗保险。</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10. 卫生健康支出（类）行政事业单位医疗（款）事业单位医疗（项目），2024年预算数为14.27万元，主要用于为事业人员缴纳医疗保险。</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11. 卫生健康支出（类）行政事业单位医疗（款）公务员医疗补助（项目），2024年预算数为32.02万元，主要用于行政人员公务员医疗补助。</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12. 卫生健康支出（类）行政事业单位医疗（款）其他行政事业单位医疗支出（项目），2024年预算数为2.81万元，主要用于事业人员公务员医疗补助。</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13. 住房保障支出（类）住房改革支出（款）住房公积金疗（项目），2024年预算数为253.47万元，主要用于为职工缴纳住房公积金。</w:t>
      </w:r>
    </w:p>
    <w:p>
      <w:pPr>
        <w:pStyle w:val="11"/>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14. 一般公共服务（类）纪检监察事务（款） 其他纪检监察事务支出（项目）2024年预算数为1533万元，主要用于纪检监察未单独设置项级科目的其他项目支出。</w:t>
      </w:r>
    </w:p>
    <w:p>
      <w:pPr>
        <w:pStyle w:val="11"/>
        <w:spacing w:before="0" w:line="576" w:lineRule="exact"/>
        <w:ind w:firstLine="581" w:firstLineChars="161"/>
        <w:rPr>
          <w:rFonts w:hint="default" w:ascii="Times New Roman" w:hAnsi="Times New Roman" w:cs="Times New Roman"/>
          <w:kern w:val="2"/>
          <w:sz w:val="32"/>
          <w:szCs w:val="32"/>
        </w:rPr>
      </w:pPr>
      <w:r>
        <w:rPr>
          <w:rFonts w:hint="default" w:ascii="Times New Roman" w:hAnsi="Times New Roman" w:eastAsia="黑体" w:cs="Times New Roman"/>
          <w:b/>
          <w:bCs/>
          <w:kern w:val="2"/>
          <w:sz w:val="36"/>
          <w:szCs w:val="36"/>
        </w:rPr>
        <w:t>六、一般公共预算基本支出情况说明</w:t>
      </w:r>
      <w:r>
        <w:rPr>
          <w:rFonts w:hint="default" w:ascii="Times New Roman" w:hAnsi="Times New Roman" w:eastAsia="宋体" w:cs="Times New Roman"/>
          <w:b/>
          <w:bCs/>
          <w:sz w:val="16"/>
          <w:szCs w:val="16"/>
        </w:rPr>
        <w:br w:type="textWrapping"/>
      </w:r>
      <w:r>
        <w:rPr>
          <w:rFonts w:hint="default" w:ascii="Times New Roman" w:hAnsi="Times New Roman" w:cs="Times New Roman"/>
          <w:kern w:val="2"/>
          <w:sz w:val="32"/>
          <w:szCs w:val="32"/>
        </w:rPr>
        <w:t>　　本单位2024年一般公共预算基本支出3787.85万元，其中：人员经费3219.13万元，主要包括：基本工资、津贴补贴、奖金、其他社会保障缴费、绩效工资、机关事业单位基本养老保险缴费、职业年金缴费、其他工资福利支出、离休费、奖励金、住房公积金、其他对个人和家庭的补助支出。公用经费568.72万元，主要包括：办公费、印刷费、手续费、水费、电费、邮电费、差旅费、维修（护）费、租赁费、会议费、培训费、劳务费、工会经费、福利费、其他交通工具运行维护费、其他商品和服务支出。</w:t>
      </w:r>
      <w:r>
        <w:rPr>
          <w:rFonts w:hint="default" w:ascii="Times New Roman" w:hAnsi="Times New Roman" w:eastAsia="宋体" w:cs="Times New Roman"/>
          <w:sz w:val="16"/>
          <w:szCs w:val="16"/>
        </w:rPr>
        <w:br w:type="textWrapping"/>
      </w:r>
      <w:r>
        <w:rPr>
          <w:rFonts w:hint="default" w:ascii="Times New Roman" w:hAnsi="Times New Roman" w:eastAsia="黑体" w:cs="Times New Roman"/>
          <w:b/>
          <w:bCs/>
          <w:kern w:val="2"/>
          <w:sz w:val="36"/>
          <w:szCs w:val="36"/>
        </w:rPr>
        <w:t>　　七、“三公”经费财政拨款预算安排情况说明</w:t>
      </w:r>
      <w:r>
        <w:rPr>
          <w:rFonts w:hint="default" w:ascii="Times New Roman" w:hAnsi="Times New Roman" w:eastAsia="黑体" w:cs="Times New Roman"/>
          <w:sz w:val="16"/>
          <w:szCs w:val="16"/>
        </w:rPr>
        <w:br w:type="textWrapping"/>
      </w:r>
      <w:r>
        <w:rPr>
          <w:rFonts w:hint="default" w:ascii="Times New Roman" w:hAnsi="Times New Roman" w:eastAsia="宋体" w:cs="Times New Roman"/>
          <w:sz w:val="16"/>
        </w:rPr>
        <w:t>　</w:t>
      </w:r>
      <w:r>
        <w:rPr>
          <w:rFonts w:hint="default" w:ascii="Times New Roman" w:hAnsi="Times New Roman" w:cs="Times New Roman"/>
          <w:kern w:val="2"/>
          <w:sz w:val="32"/>
          <w:szCs w:val="32"/>
        </w:rPr>
        <w:t>　 本单位2024年“三公”经费财政拨款预算数194.64万元，较上年增加4.9万元，增长2.58%，增加预算的主要原因是办案专项经费中增加了公车运行维护费预算。其中：公务接待费8.68万元，公务用车购置及运行维护费185.96万元，无因公出国（境）经费。</w:t>
      </w:r>
    </w:p>
    <w:p>
      <w:pPr>
        <w:pStyle w:val="11"/>
        <w:spacing w:before="0" w:line="576" w:lineRule="exact"/>
        <w:ind w:firstLine="481" w:firstLineChars="15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（一）2024年未安排因公出国（境）经费。</w:t>
      </w:r>
      <w:r>
        <w:rPr>
          <w:rFonts w:hint="default" w:ascii="Times New Roman" w:hAnsi="Times New Roman" w:cs="Times New Roman"/>
          <w:kern w:val="2"/>
          <w:sz w:val="32"/>
          <w:szCs w:val="32"/>
        </w:rPr>
        <w:t>上年未安排因公出国（境）经费。</w:t>
      </w:r>
    </w:p>
    <w:p>
      <w:pPr>
        <w:pStyle w:val="11"/>
        <w:spacing w:before="0" w:line="576" w:lineRule="exact"/>
        <w:ind w:firstLine="481" w:firstLineChars="15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（二）2024年公务接待费8.68万元。</w:t>
      </w:r>
      <w:r>
        <w:rPr>
          <w:rFonts w:hint="default" w:ascii="Times New Roman" w:hAnsi="Times New Roman" w:cs="Times New Roman"/>
          <w:kern w:val="2"/>
          <w:sz w:val="32"/>
          <w:szCs w:val="32"/>
        </w:rPr>
        <w:t>较2023年预算经费8.78万元减少0.1万元，降低1.14%，主要是按要求压减支出。。</w:t>
      </w:r>
    </w:p>
    <w:p>
      <w:pPr>
        <w:pStyle w:val="11"/>
        <w:spacing w:before="0" w:line="576" w:lineRule="exact"/>
        <w:ind w:firstLine="517" w:firstLineChars="161"/>
        <w:rPr>
          <w:rFonts w:hint="default" w:ascii="Times New Roman" w:hAnsi="Times New Roman" w:cs="Times New Roman"/>
          <w:b/>
          <w:kern w:val="2"/>
          <w:sz w:val="32"/>
          <w:szCs w:val="32"/>
        </w:rPr>
      </w:pPr>
      <w:r>
        <w:rPr>
          <w:rFonts w:hint="default" w:ascii="Times New Roman" w:hAnsi="Times New Roman" w:eastAsia="楷体_GB2312" w:cs="Times New Roman"/>
          <w:b/>
          <w:kern w:val="2"/>
          <w:sz w:val="32"/>
          <w:szCs w:val="32"/>
        </w:rPr>
        <w:t>（三）2024年公务用车购置及运行维护费185.96万元。</w:t>
      </w:r>
      <w:r>
        <w:rPr>
          <w:rFonts w:hint="default" w:ascii="Times New Roman" w:hAnsi="Times New Roman" w:cs="Times New Roman"/>
          <w:kern w:val="2"/>
          <w:sz w:val="32"/>
          <w:szCs w:val="32"/>
        </w:rPr>
        <w:t>较2023年预算经费增加5万元，增长2.76%。其中，公务用车购置经费0元，无增减变动；公务用车运行维护费185.96万元，增长2.76%，增加的主要原因是办案专项经费中增加了公车运行维护费预算。</w:t>
      </w:r>
    </w:p>
    <w:p>
      <w:pPr>
        <w:pStyle w:val="11"/>
        <w:spacing w:before="0" w:line="576" w:lineRule="exact"/>
        <w:ind w:firstLine="531" w:firstLineChars="147"/>
        <w:rPr>
          <w:rFonts w:hint="default" w:ascii="Times New Roman" w:hAnsi="Times New Roman" w:cs="Times New Roman"/>
          <w:kern w:val="2"/>
          <w:sz w:val="32"/>
          <w:szCs w:val="32"/>
        </w:rPr>
      </w:pPr>
      <w:r>
        <w:rPr>
          <w:rFonts w:hint="default" w:ascii="Times New Roman" w:hAnsi="Times New Roman" w:eastAsia="黑体" w:cs="Times New Roman"/>
          <w:b/>
          <w:bCs/>
          <w:kern w:val="2"/>
          <w:sz w:val="36"/>
          <w:szCs w:val="36"/>
        </w:rPr>
        <w:t>八、政府性基金预算支出情况说明</w:t>
      </w:r>
    </w:p>
    <w:p>
      <w:pPr>
        <w:pStyle w:val="11"/>
        <w:spacing w:before="0" w:line="576" w:lineRule="exact"/>
        <w:ind w:firstLine="470" w:firstLineChars="147"/>
        <w:rPr>
          <w:rFonts w:hint="default" w:ascii="Times New Roman" w:hAnsi="Times New Roman" w:cs="Times New Roman"/>
          <w:kern w:val="2"/>
          <w:sz w:val="32"/>
          <w:szCs w:val="32"/>
        </w:rPr>
      </w:pPr>
      <w:r>
        <w:rPr>
          <w:rFonts w:hint="default" w:ascii="Times New Roman" w:hAnsi="Times New Roman" w:cs="Times New Roman"/>
          <w:kern w:val="2"/>
          <w:sz w:val="32"/>
          <w:szCs w:val="32"/>
        </w:rPr>
        <w:t>本单位2024年无政府性基金预算拨款安排。上年无无政府性基金预算拨款安排。</w:t>
      </w:r>
    </w:p>
    <w:p>
      <w:pPr>
        <w:pStyle w:val="11"/>
        <w:spacing w:before="0" w:line="576" w:lineRule="exact"/>
        <w:ind w:firstLine="531" w:firstLineChars="147"/>
        <w:rPr>
          <w:rFonts w:hint="default" w:ascii="Times New Roman" w:hAnsi="Times New Roman" w:eastAsia="宋体" w:cs="Times New Roman"/>
          <w:sz w:val="16"/>
          <w:szCs w:val="16"/>
        </w:rPr>
      </w:pPr>
      <w:r>
        <w:rPr>
          <w:rFonts w:hint="default" w:ascii="Times New Roman" w:hAnsi="Times New Roman" w:eastAsia="黑体" w:cs="Times New Roman"/>
          <w:b/>
          <w:bCs/>
          <w:kern w:val="2"/>
          <w:sz w:val="36"/>
          <w:szCs w:val="36"/>
        </w:rPr>
        <w:t>九、其他重要事项的情况说明</w:t>
      </w:r>
    </w:p>
    <w:p>
      <w:pPr>
        <w:pStyle w:val="11"/>
        <w:spacing w:before="0" w:line="576" w:lineRule="exact"/>
        <w:ind w:firstLine="642" w:firstLineChars="200"/>
        <w:rPr>
          <w:rFonts w:hint="default" w:ascii="Times New Roman" w:hAnsi="Times New Roman" w:eastAsia="楷体_GB2312" w:cs="Times New Roman"/>
          <w:kern w:val="2"/>
          <w:sz w:val="32"/>
          <w:szCs w:val="32"/>
        </w:rPr>
      </w:pPr>
      <w:r>
        <w:rPr>
          <w:rFonts w:hint="default" w:ascii="Times New Roman" w:hAnsi="Times New Roman" w:eastAsia="楷体_GB2312" w:cs="Times New Roman"/>
          <w:b/>
          <w:kern w:val="2"/>
          <w:sz w:val="32"/>
          <w:szCs w:val="32"/>
        </w:rPr>
        <w:t>（一）机关运行经费</w:t>
      </w:r>
    </w:p>
    <w:p>
      <w:pPr>
        <w:pStyle w:val="11"/>
        <w:spacing w:before="0" w:line="576" w:lineRule="exact"/>
        <w:ind w:firstLine="537" w:firstLineChars="168"/>
        <w:rPr>
          <w:rFonts w:hint="default" w:ascii="Times New Roman" w:hAnsi="Times New Roman" w:cs="Times New Roman"/>
          <w:kern w:val="2"/>
          <w:sz w:val="32"/>
          <w:szCs w:val="32"/>
        </w:rPr>
      </w:pPr>
      <w:r>
        <w:rPr>
          <w:rFonts w:hint="default" w:ascii="Times New Roman" w:hAnsi="Times New Roman" w:cs="Times New Roman"/>
          <w:kern w:val="2"/>
          <w:sz w:val="32"/>
          <w:szCs w:val="32"/>
        </w:rPr>
        <w:t>2024年机关运行经费财政拨款预算为541.59万元，较上年504.85万元增加36.74万元，增长7.28%，主要是因为人员增加。</w:t>
      </w:r>
    </w:p>
    <w:p>
      <w:pPr>
        <w:pStyle w:val="11"/>
        <w:spacing w:before="0" w:line="576" w:lineRule="exact"/>
        <w:ind w:firstLine="539" w:firstLineChars="168"/>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2024年安排政府采购预算1533万元，资金主要用于 阿坝州纪委监委物业管理服务、新建留置中心设备采购。</w:t>
      </w:r>
    </w:p>
    <w:p>
      <w:pPr>
        <w:pStyle w:val="11"/>
        <w:spacing w:before="0" w:line="576" w:lineRule="exact"/>
        <w:rPr>
          <w:rFonts w:hint="default" w:ascii="Times New Roman" w:hAnsi="Times New Roman" w:eastAsia="楷体_GB2312" w:cs="Times New Roman"/>
          <w:b/>
          <w:kern w:val="2"/>
          <w:sz w:val="32"/>
          <w:szCs w:val="32"/>
        </w:rPr>
      </w:pPr>
      <w:r>
        <w:rPr>
          <w:rFonts w:hint="default" w:ascii="Times New Roman" w:hAnsi="Times New Roman" w:cs="Times New Roman"/>
          <w:kern w:val="2"/>
          <w:sz w:val="32"/>
          <w:szCs w:val="32"/>
        </w:rPr>
        <w:t xml:space="preserve">　 </w:t>
      </w:r>
      <w:r>
        <w:rPr>
          <w:rFonts w:hint="default" w:ascii="Times New Roman" w:hAnsi="Times New Roman" w:eastAsia="楷体_GB2312" w:cs="Times New Roman"/>
          <w:b/>
          <w:kern w:val="2"/>
          <w:sz w:val="32"/>
          <w:szCs w:val="32"/>
        </w:rPr>
        <w:t>（三）国有资产占有使用情况</w:t>
      </w:r>
    </w:p>
    <w:p>
      <w:pPr>
        <w:pStyle w:val="11"/>
        <w:spacing w:before="0" w:line="576" w:lineRule="exact"/>
        <w:ind w:firstLine="480" w:firstLineChars="150"/>
        <w:rPr>
          <w:rFonts w:hint="default" w:ascii="Times New Roman" w:hAnsi="Times New Roman" w:cs="Times New Roman"/>
          <w:kern w:val="2"/>
          <w:sz w:val="32"/>
          <w:szCs w:val="32"/>
        </w:rPr>
      </w:pPr>
      <w:r>
        <w:rPr>
          <w:rFonts w:hint="default" w:ascii="Times New Roman" w:hAnsi="Times New Roman" w:cs="Times New Roman"/>
          <w:kern w:val="2"/>
          <w:sz w:val="32"/>
          <w:szCs w:val="32"/>
        </w:rPr>
        <w:t>2023年末，单位固定资产总额为4656.21万元，其中房屋及构筑物1403.96万元，占30.15%；专用设备80.42万元，占1.73%；通用设备（电脑、打印机等）2856.55万元，占61.35%；家具、用具、装具等315.28万元，占6.77%。</w:t>
      </w:r>
    </w:p>
    <w:p>
      <w:pPr>
        <w:pStyle w:val="11"/>
        <w:spacing w:before="0" w:line="576" w:lineRule="exact"/>
        <w:ind w:firstLine="481" w:firstLineChars="15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（四）绩效目标设置情况</w:t>
      </w:r>
      <w:r>
        <w:rPr>
          <w:rFonts w:hint="default" w:ascii="Times New Roman" w:hAnsi="Times New Roman" w:eastAsia="楷体_GB2312" w:cs="Times New Roman"/>
          <w:b/>
          <w:kern w:val="2"/>
          <w:sz w:val="32"/>
          <w:szCs w:val="32"/>
        </w:rPr>
        <w:br w:type="textWrapping"/>
      </w:r>
      <w:r>
        <w:rPr>
          <w:rFonts w:hint="default" w:ascii="Times New Roman" w:hAnsi="Times New Roman" w:cs="Times New Roman"/>
          <w:kern w:val="2"/>
          <w:sz w:val="32"/>
          <w:szCs w:val="32"/>
        </w:rPr>
        <w:t>　 2024年通用项目和专用项目均按要求实行绩效目标管理，涉及一般公共预算当年拨款</w:t>
      </w:r>
      <w:r>
        <w:rPr>
          <w:rFonts w:hint="default" w:ascii="Times New Roman" w:hAnsi="Times New Roman" w:cs="Times New Roman"/>
          <w:color w:val="000000"/>
          <w:kern w:val="2"/>
          <w:sz w:val="32"/>
          <w:szCs w:val="32"/>
        </w:rPr>
        <w:t>7315.6</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rPr>
        <w:br w:type="textWrapping"/>
      </w:r>
      <w:r>
        <w:rPr>
          <w:rFonts w:hint="default" w:ascii="Times New Roman" w:hAnsi="Times New Roman" w:eastAsia="黑体" w:cs="Times New Roman"/>
          <w:b/>
          <w:bCs/>
          <w:kern w:val="2"/>
          <w:sz w:val="36"/>
          <w:szCs w:val="36"/>
        </w:rPr>
        <w:t>　　十、名词解释</w:t>
      </w:r>
      <w:r>
        <w:rPr>
          <w:rFonts w:hint="default" w:ascii="Times New Roman" w:hAnsi="Times New Roman" w:eastAsia="宋体" w:cs="Times New Roman"/>
          <w:sz w:val="16"/>
          <w:szCs w:val="16"/>
        </w:rPr>
        <w:br w:type="textWrapping"/>
      </w:r>
      <w:r>
        <w:rPr>
          <w:rFonts w:hint="default" w:ascii="Times New Roman" w:hAnsi="Times New Roman" w:cs="Times New Roman"/>
          <w:kern w:val="2"/>
          <w:sz w:val="32"/>
          <w:szCs w:val="32"/>
        </w:rPr>
        <w:t>　　</w:t>
      </w:r>
      <w:r>
        <w:rPr>
          <w:rFonts w:hint="default" w:ascii="Times New Roman" w:hAnsi="Times New Roman" w:eastAsia="楷体_GB2312" w:cs="Times New Roman"/>
          <w:b/>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（二）事业收入：</w:t>
      </w:r>
      <w:r>
        <w:rPr>
          <w:rFonts w:hint="default" w:ascii="Times New Roman" w:hAnsi="Times New Roman" w:eastAsia="仿宋_GB2312" w:cs="Times New Roman"/>
          <w:sz w:val="32"/>
          <w:szCs w:val="32"/>
        </w:rPr>
        <w:t>指所属事业单位开展专业业务活动及辅助活动所取得的收入。</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（三）事业单位经营收入：</w:t>
      </w:r>
      <w:r>
        <w:rPr>
          <w:rFonts w:hint="default" w:ascii="Times New Roman" w:hAnsi="Times New Roman" w:eastAsia="仿宋_GB2312" w:cs="Times New Roman"/>
          <w:sz w:val="32"/>
          <w:szCs w:val="32"/>
        </w:rPr>
        <w:t>指所属事业单位在专业业务活动及其辅助活动之外开展非独立核算经营活动取得的收入。</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（四）其他收入：</w:t>
      </w:r>
      <w:r>
        <w:rPr>
          <w:rFonts w:hint="default" w:ascii="Times New Roman" w:hAnsi="Times New Roman" w:eastAsia="仿宋_GB2312" w:cs="Times New Roman"/>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（五）用事业基金弥补收支差额：</w:t>
      </w:r>
      <w:r>
        <w:rPr>
          <w:rFonts w:hint="default" w:ascii="Times New Roman" w:hAnsi="Times New Roman" w:eastAsia="仿宋_GB2312" w:cs="Times New Roman"/>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（六）上年结转：</w:t>
      </w:r>
      <w:r>
        <w:rPr>
          <w:rFonts w:hint="default" w:ascii="Times New Roman" w:hAnsi="Times New Roman" w:eastAsia="仿宋_GB2312" w:cs="Times New Roman"/>
          <w:sz w:val="32"/>
          <w:szCs w:val="32"/>
        </w:rPr>
        <w:t>指所属行政事业单位以前年度尚未完成、结转至本年按原规定用途继续使用的资金和以前年度已完。</w:t>
      </w:r>
    </w:p>
    <w:p>
      <w:pPr>
        <w:spacing w:line="576"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（七）干部培训经费：</w:t>
      </w:r>
      <w:r>
        <w:rPr>
          <w:rFonts w:hint="default" w:ascii="Times New Roman" w:hAnsi="Times New Roman" w:eastAsia="仿宋_GB2312" w:cs="Times New Roman"/>
          <w:sz w:val="32"/>
          <w:szCs w:val="32"/>
        </w:rPr>
        <w:t>全州纪检监察干部业务培训费用。</w:t>
      </w:r>
    </w:p>
    <w:p>
      <w:pPr>
        <w:spacing w:line="576"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（八）宣传教育经费：</w:t>
      </w:r>
      <w:r>
        <w:rPr>
          <w:rFonts w:hint="default" w:ascii="Times New Roman" w:hAnsi="Times New Roman" w:eastAsia="仿宋_GB2312" w:cs="Times New Roman"/>
          <w:sz w:val="32"/>
          <w:szCs w:val="32"/>
        </w:rPr>
        <w:t>根据《关于印发&lt;2015年党风廉政建设和反腐败宣传工作要点&gt;》（川纪综〔2015〕24号）文件要求，需加强党风廉政建设和反腐败宣传工作，该笔经费主要开支方向为：制作警示教育专题片、警示教育读本、廉政微电影、廉洁公益广告等创作活动的费用。</w:t>
      </w:r>
    </w:p>
    <w:p>
      <w:pPr>
        <w:spacing w:line="576"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（九）“阳光问廉”经费：</w:t>
      </w:r>
      <w:r>
        <w:rPr>
          <w:rFonts w:hint="default" w:ascii="Times New Roman" w:hAnsi="Times New Roman" w:eastAsia="仿宋_GB2312" w:cs="Times New Roman"/>
          <w:sz w:val="32"/>
          <w:szCs w:val="32"/>
        </w:rPr>
        <w:t>按照省纪委、省委宣传部《关于进一步深化“阳光问廉”工作的通知》（川纪发〔2017〕14号）精神，阿坝州采取州本级主办、州县联办和县（市）单独举办的形式，围绕扶贫领域腐败和作风问题、群众身边“微腐败”问题、干部作风问题等群众关心关注的热点焦点问题开办节目，发挥媒体监督和群众监督的重要作用。阿坝州“阳光问廉”工作由州纪委牵头，安排专项工作经费。</w:t>
      </w:r>
    </w:p>
    <w:p>
      <w:pPr>
        <w:rPr>
          <w:rFonts w:hint="default" w:ascii="Times New Roman" w:hAnsi="Times New Roman" w:cs="Times New Roman"/>
        </w:rPr>
      </w:pPr>
    </w:p>
    <w:sectPr>
      <w:footerReference r:id="rId3" w:type="default"/>
      <w:footerReference r:id="rId4" w:type="even"/>
      <w:pgSz w:w="11906" w:h="16838"/>
      <w:pgMar w:top="2098" w:right="1474" w:bottom="187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 xml:space="preserve"> </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ED60FD"/>
    <w:rsid w:val="6F7F4308"/>
    <w:rsid w:val="7F2C6A30"/>
    <w:rsid w:val="7FB5C355"/>
    <w:rsid w:val="7FF926DE"/>
    <w:rsid w:val="BCD5FC4F"/>
    <w:rsid w:val="CBF99972"/>
    <w:rsid w:val="DFFE31CB"/>
    <w:rsid w:val="EFED60FD"/>
    <w:rsid w:val="F5770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nhideWhenUsed/>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rPr>
      <w:rFonts w:ascii="Times New Roman" w:hAnsi="Times New Roman" w:eastAsia="宋体" w:cs="Times New Roman"/>
      <w:lang w:val="en-US" w:eastAsia="zh-CN" w:bidi="ar-SA"/>
    </w:rPr>
  </w:style>
  <w:style w:type="character" w:styleId="10">
    <w:name w:val="Emphasis"/>
    <w:basedOn w:val="8"/>
    <w:qFormat/>
    <w:uiPriority w:val="0"/>
    <w:rPr>
      <w:rFonts w:ascii="Times New Roman" w:hAnsi="Times New Roman" w:eastAsia="宋体" w:cs="Times New Roman"/>
      <w:lang w:val="en-US" w:eastAsia="zh-CN" w:bidi="ar-SA"/>
    </w:r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默认段落字体1"/>
    <w:qFormat/>
    <w:uiPriority w:val="0"/>
    <w:rPr>
      <w:rFonts w:ascii="Times New Roman" w:hAnsi="Times New Roman" w:eastAsia="宋体" w:cs="Times New Roman"/>
      <w:sz w:val="22"/>
      <w:lang w:val="en-US" w:eastAsia="zh-CN" w:bidi="ar-SA"/>
    </w:rPr>
  </w:style>
  <w:style w:type="paragraph" w:styleId="13">
    <w:name w:val="List Paragraph"/>
    <w:basedOn w:val="1"/>
    <w:qFormat/>
    <w:uiPriority w:val="0"/>
    <w:pPr>
      <w:ind w:firstLine="200" w:firstLineChars="200"/>
    </w:pPr>
  </w:style>
  <w:style w:type="paragraph" w:customStyle="1" w:styleId="14">
    <w:name w:val="Char Char Char Char"/>
    <w:basedOn w:val="1"/>
    <w:qFormat/>
    <w:uiPriority w:val="0"/>
    <w:rPr>
      <w:rFonts w:ascii="Times New Roman" w:hAnsi="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657</Words>
  <Characters>3746</Characters>
  <Lines>31</Lines>
  <Paragraphs>8</Paragraphs>
  <TotalTime>66</TotalTime>
  <ScaleCrop>false</ScaleCrop>
  <LinksUpToDate>false</LinksUpToDate>
  <CharactersWithSpaces>4395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2017-12-19T09:50:00Z</dcterms:created>
  <dc:creator>薛永萍</dc:creator>
  <cp:lastModifiedBy>付勇</cp:lastModifiedBy>
  <cp:lastPrinted>2020-03-03T11:37:00Z</cp:lastPrinted>
  <dcterms:modified xsi:type="dcterms:W3CDTF">2024-02-04T15:18:37Z</dcterms:modified>
  <cp:revision>297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